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8128" w14:textId="65FCBD3F" w:rsidR="008C2566" w:rsidRDefault="00022BD7" w:rsidP="00154454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b/>
          <w:color w:val="002060"/>
          <w:sz w:val="26"/>
          <w:szCs w:val="26"/>
          <w:u w:val="single"/>
        </w:rPr>
        <w:t>Independent Custody Visiting Quarterl</w:t>
      </w:r>
      <w:r w:rsidR="00154454" w:rsidRPr="00154454">
        <w:rPr>
          <w:b/>
          <w:color w:val="002060"/>
          <w:sz w:val="26"/>
          <w:szCs w:val="26"/>
          <w:u w:val="single"/>
        </w:rPr>
        <w:t xml:space="preserve">y Update: </w:t>
      </w:r>
    </w:p>
    <w:tbl>
      <w:tblPr>
        <w:tblStyle w:val="TableGrid"/>
        <w:tblpPr w:leftFromText="180" w:rightFromText="180" w:vertAnchor="text" w:horzAnchor="page" w:tblpX="5111" w:tblpY="407"/>
        <w:tblW w:w="5811" w:type="dxa"/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276"/>
        <w:gridCol w:w="1559"/>
      </w:tblGrid>
      <w:tr w:rsidR="00325C47" w14:paraId="23289CA1" w14:textId="77777777" w:rsidTr="00325C47">
        <w:trPr>
          <w:trHeight w:val="905"/>
        </w:trPr>
        <w:tc>
          <w:tcPr>
            <w:tcW w:w="992" w:type="dxa"/>
          </w:tcPr>
          <w:p w14:paraId="1EA3C509" w14:textId="77777777" w:rsidR="00325C47" w:rsidRPr="00154454" w:rsidRDefault="00325C47" w:rsidP="00325C4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Number of ICV 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Calls</w:t>
            </w:r>
          </w:p>
        </w:tc>
        <w:tc>
          <w:tcPr>
            <w:tcW w:w="1984" w:type="dxa"/>
          </w:tcPr>
          <w:p w14:paraId="0BCAAB29" w14:textId="77777777" w:rsidR="00325C47" w:rsidRPr="00154454" w:rsidRDefault="00325C47" w:rsidP="00325C4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791502E8" w14:textId="77777777" w:rsidR="00325C47" w:rsidRPr="00154454" w:rsidRDefault="00325C47" w:rsidP="00325C4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/ refused</w:t>
            </w:r>
          </w:p>
        </w:tc>
        <w:tc>
          <w:tcPr>
            <w:tcW w:w="1559" w:type="dxa"/>
          </w:tcPr>
          <w:p w14:paraId="361D7545" w14:textId="77777777" w:rsidR="00325C47" w:rsidRPr="00154454" w:rsidRDefault="00325C47" w:rsidP="00325C4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Total number of detainees 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spoken with</w:t>
            </w:r>
          </w:p>
        </w:tc>
      </w:tr>
      <w:tr w:rsidR="00325C47" w14:paraId="4EECCF5B" w14:textId="77777777" w:rsidTr="00325C47">
        <w:tc>
          <w:tcPr>
            <w:tcW w:w="992" w:type="dxa"/>
          </w:tcPr>
          <w:p w14:paraId="680D87AE" w14:textId="77777777" w:rsidR="00325C47" w:rsidRPr="00154454" w:rsidRDefault="00325C47" w:rsidP="00325C4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6A1B0B14" w14:textId="77777777" w:rsidR="00325C47" w:rsidRPr="00154454" w:rsidRDefault="00325C47" w:rsidP="00325C4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14:paraId="2A84FB8C" w14:textId="77777777" w:rsidR="00325C47" w:rsidRPr="00154454" w:rsidRDefault="00325C47" w:rsidP="00325C4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61</w:t>
            </w:r>
          </w:p>
        </w:tc>
        <w:tc>
          <w:tcPr>
            <w:tcW w:w="1559" w:type="dxa"/>
          </w:tcPr>
          <w:p w14:paraId="4AB2F84F" w14:textId="77777777" w:rsidR="00325C47" w:rsidRPr="00154454" w:rsidRDefault="00325C47" w:rsidP="00325C47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1193CA8C" w14:textId="65DBAE9F" w:rsidR="0052211E" w:rsidRPr="00154454" w:rsidRDefault="00434D1D" w:rsidP="00154454">
      <w:pPr>
        <w:jc w:val="both"/>
        <w:rPr>
          <w:b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January – March 2021</w:t>
      </w:r>
    </w:p>
    <w:tbl>
      <w:tblPr>
        <w:tblStyle w:val="TableGrid"/>
        <w:tblW w:w="322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</w:tblGrid>
      <w:tr w:rsidR="00325C47" w14:paraId="1337AEFC" w14:textId="77777777" w:rsidTr="00325C47">
        <w:trPr>
          <w:trHeight w:val="905"/>
        </w:trPr>
        <w:tc>
          <w:tcPr>
            <w:tcW w:w="2235" w:type="dxa"/>
          </w:tcPr>
          <w:p w14:paraId="6DCE26D0" w14:textId="77777777" w:rsidR="00325C47" w:rsidRPr="00154454" w:rsidRDefault="00325C47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18B3DE1E" w14:textId="77777777" w:rsidR="00325C47" w:rsidRPr="00154454" w:rsidRDefault="00325C47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</w:tr>
      <w:tr w:rsidR="00325C47" w14:paraId="12BA9AF7" w14:textId="77777777" w:rsidTr="00325C47">
        <w:tc>
          <w:tcPr>
            <w:tcW w:w="2235" w:type="dxa"/>
          </w:tcPr>
          <w:p w14:paraId="5A40B364" w14:textId="78B7BC13" w:rsidR="00325C47" w:rsidRPr="00154454" w:rsidRDefault="00325C47" w:rsidP="005D6BC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992" w:type="dxa"/>
          </w:tcPr>
          <w:p w14:paraId="7F2EE5DB" w14:textId="2AE22A23" w:rsidR="00325C47" w:rsidRPr="00154454" w:rsidRDefault="00325C47" w:rsidP="005D6BC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7CC3BC6" w14:textId="77777777" w:rsidR="007F165A" w:rsidRDefault="007F165A" w:rsidP="00154454">
      <w:pPr>
        <w:jc w:val="both"/>
        <w:rPr>
          <w:b/>
          <w:color w:val="4F81BD" w:themeColor="accent1"/>
          <w:u w:val="single"/>
        </w:rPr>
      </w:pPr>
    </w:p>
    <w:p w14:paraId="182B4505" w14:textId="33A5B402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Active ICVs: 2</w:t>
      </w:r>
      <w:r w:rsidR="0040330B">
        <w:rPr>
          <w:b/>
          <w:color w:val="4F81BD" w:themeColor="accent1"/>
          <w:u w:val="single"/>
        </w:rPr>
        <w:t>1</w:t>
      </w:r>
    </w:p>
    <w:p w14:paraId="4F0381D2" w14:textId="78A1ECA6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Pembrokeshire: 5</w:t>
      </w:r>
    </w:p>
    <w:p w14:paraId="5498272F" w14:textId="0D8EE577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Powys: 6</w:t>
      </w:r>
    </w:p>
    <w:p w14:paraId="6C24245E" w14:textId="4A017FED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Ceredigion: 5</w:t>
      </w:r>
    </w:p>
    <w:p w14:paraId="41941260" w14:textId="3845E200" w:rsidR="00CB666D" w:rsidRDefault="0040330B" w:rsidP="0040330B">
      <w:pPr>
        <w:pStyle w:val="ListParagraph"/>
        <w:numPr>
          <w:ilvl w:val="0"/>
          <w:numId w:val="1"/>
        </w:numPr>
        <w:jc w:val="both"/>
      </w:pPr>
      <w:r>
        <w:t>Carmarthenshire: 5</w:t>
      </w:r>
      <w:r w:rsidR="00B77F6F">
        <w:t xml:space="preserve"> </w:t>
      </w:r>
    </w:p>
    <w:p w14:paraId="6891B9D3" w14:textId="673D5001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Recruitment Update</w:t>
      </w:r>
    </w:p>
    <w:p w14:paraId="3992C266" w14:textId="1AC4DF5D" w:rsidR="00CB666D" w:rsidRDefault="00325C47" w:rsidP="00154454">
      <w:pPr>
        <w:jc w:val="both"/>
      </w:pPr>
      <w:r>
        <w:t>Four</w:t>
      </w:r>
      <w:r w:rsidR="00413FA1">
        <w:t xml:space="preserve"> new ICVs </w:t>
      </w:r>
      <w:r>
        <w:t xml:space="preserve">have been appointed within this quarter. </w:t>
      </w:r>
      <w:r w:rsidR="0040330B">
        <w:t>The ICV recruitment drive is still ongoing and we are hoping to recruit new Team Members early next year.</w:t>
      </w:r>
    </w:p>
    <w:p w14:paraId="4E38885D" w14:textId="77777777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Scheme Update:</w:t>
      </w:r>
    </w:p>
    <w:p w14:paraId="1937BEC5" w14:textId="77777777" w:rsidR="00434D1D" w:rsidRDefault="00434D1D" w:rsidP="00434D1D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Due to an increase in covid-19 cases the decision was made to suspend physical ICV visits. This decision will be continuously reviewed with the aim of returning to visits as soon as possible.</w:t>
      </w:r>
    </w:p>
    <w:p w14:paraId="6B8CB0A9" w14:textId="77777777" w:rsidR="00434D1D" w:rsidRPr="00434D1D" w:rsidRDefault="00434D1D" w:rsidP="00434D1D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434D1D">
        <w:rPr>
          <w:rFonts w:asciiTheme="minorHAnsi" w:hAnsiTheme="minorHAnsi"/>
          <w:sz w:val="22"/>
          <w:szCs w:val="22"/>
        </w:rPr>
        <w:t>The OPCC has continued to review Custody records every month. This has helped the Office to maintain an oversight of the custody environment whilst visits have been on pause. A mixed rota of physical visits and calls to recommence from April</w:t>
      </w:r>
      <w:r>
        <w:rPr>
          <w:rFonts w:asciiTheme="minorHAnsi" w:hAnsiTheme="minorHAnsi"/>
          <w:sz w:val="22"/>
          <w:szCs w:val="22"/>
        </w:rPr>
        <w:t xml:space="preserve"> 2021</w:t>
      </w:r>
      <w:r w:rsidRPr="00434D1D">
        <w:rPr>
          <w:rFonts w:asciiTheme="minorHAnsi" w:hAnsiTheme="minorHAnsi"/>
          <w:sz w:val="22"/>
          <w:szCs w:val="22"/>
        </w:rPr>
        <w:t xml:space="preserve"> onwards. </w:t>
      </w:r>
    </w:p>
    <w:p w14:paraId="3908C4B2" w14:textId="3607FD49" w:rsidR="00434D1D" w:rsidRPr="00434D1D" w:rsidRDefault="00434D1D" w:rsidP="00434D1D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434D1D">
        <w:rPr>
          <w:rFonts w:asciiTheme="minorHAnsi" w:hAnsiTheme="minorHAnsi"/>
          <w:sz w:val="22"/>
          <w:szCs w:val="22"/>
        </w:rPr>
        <w:t xml:space="preserve">The number of detainees accepting an ICV call continues to be an issue, this is an issue nationally.  </w:t>
      </w:r>
    </w:p>
    <w:p w14:paraId="5F8CFA05" w14:textId="59F6D0C0" w:rsidR="00434D1D" w:rsidRPr="00434D1D" w:rsidRDefault="00434D1D" w:rsidP="00434D1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</w:t>
      </w:r>
      <w:r w:rsidRPr="00434D1D">
        <w:rPr>
          <w:rFonts w:asciiTheme="minorHAnsi" w:hAnsiTheme="minorHAnsi"/>
          <w:sz w:val="22"/>
          <w:szCs w:val="22"/>
        </w:rPr>
        <w:t xml:space="preserve">Vs have managed to solve some environmental issues via the phone through discussions with the Custody Sgt, these </w:t>
      </w:r>
      <w:r w:rsidRPr="00434D1D">
        <w:rPr>
          <w:rFonts w:asciiTheme="minorHAnsi" w:hAnsiTheme="minorHAnsi"/>
          <w:sz w:val="22"/>
          <w:szCs w:val="22"/>
        </w:rPr>
        <w:t>include</w:t>
      </w:r>
      <w:r>
        <w:rPr>
          <w:rFonts w:asciiTheme="minorHAnsi" w:hAnsiTheme="minorHAnsi"/>
          <w:sz w:val="22"/>
          <w:szCs w:val="22"/>
        </w:rPr>
        <w:t>,</w:t>
      </w:r>
      <w:r w:rsidRPr="00434D1D">
        <w:rPr>
          <w:rFonts w:asciiTheme="minorHAnsi" w:hAnsiTheme="minorHAnsi"/>
          <w:sz w:val="22"/>
          <w:szCs w:val="22"/>
        </w:rPr>
        <w:t xml:space="preserve"> Religious material issues, some estate issues with </w:t>
      </w:r>
      <w:r>
        <w:rPr>
          <w:rFonts w:asciiTheme="minorHAnsi" w:hAnsiTheme="minorHAnsi"/>
          <w:sz w:val="22"/>
          <w:szCs w:val="22"/>
        </w:rPr>
        <w:t xml:space="preserve">cell call </w:t>
      </w:r>
      <w:r w:rsidRPr="00434D1D">
        <w:rPr>
          <w:rFonts w:asciiTheme="minorHAnsi" w:hAnsiTheme="minorHAnsi"/>
          <w:sz w:val="22"/>
          <w:szCs w:val="22"/>
        </w:rPr>
        <w:t xml:space="preserve">buzzers and </w:t>
      </w:r>
      <w:r>
        <w:rPr>
          <w:rFonts w:asciiTheme="minorHAnsi" w:hAnsiTheme="minorHAnsi"/>
          <w:sz w:val="22"/>
          <w:szCs w:val="22"/>
        </w:rPr>
        <w:t xml:space="preserve">have provided some feedback in relation to </w:t>
      </w:r>
      <w:r w:rsidRPr="00434D1D">
        <w:rPr>
          <w:rFonts w:asciiTheme="minorHAnsi" w:hAnsiTheme="minorHAnsi"/>
          <w:sz w:val="22"/>
          <w:szCs w:val="22"/>
        </w:rPr>
        <w:t>CCTV footage</w:t>
      </w:r>
      <w:r>
        <w:rPr>
          <w:rFonts w:asciiTheme="minorHAnsi" w:hAnsiTheme="minorHAnsi"/>
          <w:sz w:val="22"/>
          <w:szCs w:val="22"/>
        </w:rPr>
        <w:t xml:space="preserve"> issues</w:t>
      </w:r>
      <w:r w:rsidRPr="00434D1D">
        <w:rPr>
          <w:rFonts w:asciiTheme="minorHAnsi" w:hAnsiTheme="minorHAnsi"/>
          <w:sz w:val="22"/>
          <w:szCs w:val="22"/>
        </w:rPr>
        <w:t>.</w:t>
      </w:r>
    </w:p>
    <w:p w14:paraId="5B0E3CAB" w14:textId="446F7360" w:rsidR="006924B0" w:rsidRPr="006924B0" w:rsidRDefault="006924B0" w:rsidP="006924B0">
      <w:pPr>
        <w:jc w:val="both"/>
        <w:rPr>
          <w:b/>
          <w:color w:val="4F81BD" w:themeColor="accent1"/>
          <w:u w:val="single"/>
        </w:rPr>
      </w:pPr>
      <w:r w:rsidRPr="006924B0">
        <w:rPr>
          <w:b/>
          <w:color w:val="4F81BD" w:themeColor="accent1"/>
          <w:u w:val="single"/>
        </w:rPr>
        <w:t>Custody Record reviewing findings:</w:t>
      </w:r>
    </w:p>
    <w:p w14:paraId="4EB6C921" w14:textId="50C1C51D" w:rsidR="00FE7797" w:rsidRPr="006924B0" w:rsidRDefault="006924B0" w:rsidP="006924B0">
      <w:pPr>
        <w:jc w:val="both"/>
      </w:pPr>
      <w:r>
        <w:t xml:space="preserve">Whilst ICV visits have been reduced, the Police and Crime Commissioner’s Office has been reviewing a selection of custody records every fortnight in order to maintain an oversight of the custody environment during the pandemic. </w:t>
      </w:r>
    </w:p>
    <w:p w14:paraId="554ED9BE" w14:textId="77777777" w:rsidR="00FE7797" w:rsidRPr="006924B0" w:rsidRDefault="00FE7797" w:rsidP="00FE7797">
      <w:pPr>
        <w:pStyle w:val="ListParagraph"/>
        <w:spacing w:line="360" w:lineRule="auto"/>
        <w:ind w:left="760"/>
        <w:rPr>
          <w:u w:val="single"/>
        </w:rPr>
      </w:pPr>
      <w:r w:rsidRPr="006924B0">
        <w:rPr>
          <w:u w:val="single"/>
        </w:rPr>
        <w:t>Main findings:</w:t>
      </w:r>
    </w:p>
    <w:p w14:paraId="4D04374C" w14:textId="77777777" w:rsidR="00FE7797" w:rsidRPr="006924B0" w:rsidRDefault="00FE7797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t>Improvements in females being appointed a female member of staff.</w:t>
      </w:r>
    </w:p>
    <w:p w14:paraId="35CA4051" w14:textId="032967CF" w:rsidR="00FE7797" w:rsidRPr="006924B0" w:rsidRDefault="006924B0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t xml:space="preserve">New </w:t>
      </w:r>
      <w:r w:rsidR="00FE7797" w:rsidRPr="006924B0">
        <w:t xml:space="preserve">Custody system prompts have brought improvements in </w:t>
      </w:r>
      <w:r w:rsidRPr="006924B0">
        <w:t>the explanation of the use of the cell call bell and explanation to all detainees that the t</w:t>
      </w:r>
      <w:r w:rsidR="00FE7797" w:rsidRPr="006924B0">
        <w:t>oilet</w:t>
      </w:r>
      <w:r w:rsidRPr="006924B0">
        <w:t xml:space="preserve"> area is pixilated for dignity. </w:t>
      </w:r>
    </w:p>
    <w:p w14:paraId="74F634AF" w14:textId="79854977" w:rsidR="00FE7797" w:rsidRPr="006924B0" w:rsidRDefault="006924B0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lastRenderedPageBreak/>
        <w:t>No delays in the provision of Appropriate Adult</w:t>
      </w:r>
      <w:r w:rsidR="00FE7797" w:rsidRPr="006924B0">
        <w:t xml:space="preserve">s or </w:t>
      </w:r>
      <w:r w:rsidRPr="006924B0">
        <w:t>remote solicitor advice over the period</w:t>
      </w:r>
      <w:r w:rsidR="00FE7797" w:rsidRPr="006924B0">
        <w:t>.</w:t>
      </w:r>
    </w:p>
    <w:p w14:paraId="24501324" w14:textId="5F6EF6E0" w:rsidR="00FE7797" w:rsidRDefault="006924B0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t>The availability of alternative accommodation</w:t>
      </w:r>
      <w:r w:rsidR="00FE7797" w:rsidRPr="006924B0">
        <w:t xml:space="preserve"> for chi</w:t>
      </w:r>
      <w:r w:rsidRPr="006924B0">
        <w:t xml:space="preserve">ldren continues to be an issue and </w:t>
      </w:r>
      <w:r w:rsidR="00FE7797" w:rsidRPr="006924B0">
        <w:t>this is being discussed at an all Wales level.</w:t>
      </w:r>
    </w:p>
    <w:p w14:paraId="3F01D979" w14:textId="178896E0" w:rsidR="00325C47" w:rsidRPr="006924B0" w:rsidRDefault="00325C47" w:rsidP="00FE7797">
      <w:pPr>
        <w:pStyle w:val="ListParagraph"/>
        <w:numPr>
          <w:ilvl w:val="0"/>
          <w:numId w:val="8"/>
        </w:numPr>
        <w:spacing w:line="360" w:lineRule="auto"/>
      </w:pPr>
      <w:r>
        <w:t>There is a lack of detail being recorded within custody logs in relation to the provision of hygiene matters such as handwashing and showers.</w:t>
      </w:r>
    </w:p>
    <w:p w14:paraId="449978A9" w14:textId="77777777" w:rsidR="00FE7797" w:rsidRDefault="00FE7797" w:rsidP="00FE7797">
      <w:pPr>
        <w:jc w:val="both"/>
      </w:pPr>
    </w:p>
    <w:p w14:paraId="5C7A1B3F" w14:textId="77777777" w:rsidR="00FE7797" w:rsidRPr="00CB06AD" w:rsidRDefault="00FE7797" w:rsidP="00FE7797">
      <w:pPr>
        <w:pStyle w:val="ListParagraph"/>
        <w:jc w:val="both"/>
      </w:pPr>
    </w:p>
    <w:sectPr w:rsidR="00FE7797" w:rsidRPr="00CB0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E7D9" w14:textId="77777777" w:rsidR="007D587A" w:rsidRDefault="007D587A" w:rsidP="00154454">
      <w:pPr>
        <w:spacing w:after="0" w:line="240" w:lineRule="auto"/>
      </w:pPr>
      <w:r>
        <w:separator/>
      </w:r>
    </w:p>
  </w:endnote>
  <w:endnote w:type="continuationSeparator" w:id="0">
    <w:p w14:paraId="567CBAB3" w14:textId="77777777" w:rsidR="007D587A" w:rsidRDefault="007D587A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D97F" w14:textId="77777777" w:rsidR="00325C47" w:rsidRDefault="00325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5E29" w14:textId="77777777" w:rsidR="00325C47" w:rsidRDefault="00325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1E93" w14:textId="77777777" w:rsidR="00325C47" w:rsidRDefault="00325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A89F" w14:textId="77777777" w:rsidR="007D587A" w:rsidRDefault="007D587A" w:rsidP="00154454">
      <w:pPr>
        <w:spacing w:after="0" w:line="240" w:lineRule="auto"/>
      </w:pPr>
      <w:r>
        <w:separator/>
      </w:r>
    </w:p>
  </w:footnote>
  <w:footnote w:type="continuationSeparator" w:id="0">
    <w:p w14:paraId="6338B20D" w14:textId="77777777" w:rsidR="007D587A" w:rsidRDefault="007D587A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6148" w14:textId="77777777" w:rsidR="00325C47" w:rsidRDefault="00325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35A2" w14:textId="334B7205" w:rsidR="00154454" w:rsidRDefault="00325C47" w:rsidP="00154454">
    <w:pPr>
      <w:pStyle w:val="Header"/>
      <w:tabs>
        <w:tab w:val="clear" w:pos="4513"/>
      </w:tabs>
    </w:pPr>
    <w:r w:rsidRPr="009F01B4">
      <w:rPr>
        <w:rFonts w:ascii="Lato" w:hAnsi="Lato" w:cs="Helvetica"/>
        <w:noProof/>
        <w:color w:val="265C89"/>
        <w:lang w:eastAsia="en-GB"/>
      </w:rPr>
      <w:drawing>
        <wp:anchor distT="0" distB="0" distL="114300" distR="114300" simplePos="0" relativeHeight="251659264" behindDoc="1" locked="0" layoutInCell="1" allowOverlap="1" wp14:anchorId="3321C910" wp14:editId="6FE1E691">
          <wp:simplePos x="0" y="0"/>
          <wp:positionH relativeFrom="column">
            <wp:posOffset>4438650</wp:posOffset>
          </wp:positionH>
          <wp:positionV relativeFrom="paragraph">
            <wp:posOffset>-299085</wp:posOffset>
          </wp:positionV>
          <wp:extent cx="1790700" cy="789940"/>
          <wp:effectExtent l="0" t="0" r="0" b="0"/>
          <wp:wrapTight wrapText="bothSides">
            <wp:wrapPolygon edited="0">
              <wp:start x="3906" y="0"/>
              <wp:lineTo x="1609" y="521"/>
              <wp:lineTo x="0" y="6251"/>
              <wp:lineTo x="0" y="14585"/>
              <wp:lineTo x="689" y="17711"/>
              <wp:lineTo x="2757" y="20836"/>
              <wp:lineTo x="3677" y="20836"/>
              <wp:lineTo x="5515" y="20836"/>
              <wp:lineTo x="6894" y="20315"/>
              <wp:lineTo x="6894" y="18752"/>
              <wp:lineTo x="5515" y="16669"/>
              <wp:lineTo x="21370" y="15106"/>
              <wp:lineTo x="21370" y="4167"/>
              <wp:lineTo x="5515" y="0"/>
              <wp:lineTo x="390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D1D">
      <w:t>January – March</w:t>
    </w:r>
    <w:r w:rsidR="005D6BCE">
      <w:t xml:space="preserve"> 202</w:t>
    </w:r>
    <w:r w:rsidR="00434D1D">
      <w:t>1</w:t>
    </w:r>
    <w:r w:rsidR="001544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C961" w14:textId="77777777" w:rsidR="00325C47" w:rsidRDefault="00325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76EF"/>
    <w:multiLevelType w:val="hybridMultilevel"/>
    <w:tmpl w:val="23C6D940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69A1113"/>
    <w:multiLevelType w:val="hybridMultilevel"/>
    <w:tmpl w:val="B31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F86"/>
    <w:multiLevelType w:val="hybridMultilevel"/>
    <w:tmpl w:val="8B94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B4962"/>
    <w:multiLevelType w:val="hybridMultilevel"/>
    <w:tmpl w:val="4E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972E1"/>
    <w:multiLevelType w:val="hybridMultilevel"/>
    <w:tmpl w:val="18E0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25C47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1EA1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330B"/>
    <w:rsid w:val="0040453B"/>
    <w:rsid w:val="004046F4"/>
    <w:rsid w:val="00413FA1"/>
    <w:rsid w:val="0042298C"/>
    <w:rsid w:val="0043270A"/>
    <w:rsid w:val="00433A74"/>
    <w:rsid w:val="00434D1D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6BCE"/>
    <w:rsid w:val="005D7B3D"/>
    <w:rsid w:val="005E7DE0"/>
    <w:rsid w:val="005F1000"/>
    <w:rsid w:val="005F1140"/>
    <w:rsid w:val="005F2B51"/>
    <w:rsid w:val="005F63D3"/>
    <w:rsid w:val="005F7832"/>
    <w:rsid w:val="00610837"/>
    <w:rsid w:val="006135C6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24B0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6F4CC1"/>
    <w:rsid w:val="007013C7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7F165A"/>
    <w:rsid w:val="008031E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75D5"/>
    <w:rsid w:val="008B314F"/>
    <w:rsid w:val="008B7960"/>
    <w:rsid w:val="008C2566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468"/>
    <w:rsid w:val="00C2669E"/>
    <w:rsid w:val="00C341DC"/>
    <w:rsid w:val="00C34FD3"/>
    <w:rsid w:val="00C36B3D"/>
    <w:rsid w:val="00C43001"/>
    <w:rsid w:val="00C458AB"/>
    <w:rsid w:val="00C551B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EDF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F5D"/>
    <w:rsid w:val="00DD4FB8"/>
    <w:rsid w:val="00DE5131"/>
    <w:rsid w:val="00E007FE"/>
    <w:rsid w:val="00E110C5"/>
    <w:rsid w:val="00E15B0E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8554E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2D70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14EC"/>
    <w:rsid w:val="00FE4261"/>
    <w:rsid w:val="00FE4547"/>
    <w:rsid w:val="00FE779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5D34CD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7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10C90-3B64-4F8D-9EBE-AAD565CCB1E0}">
  <ds:schemaRefs>
    <ds:schemaRef ds:uri="http://schemas.microsoft.com/office/2006/documentManagement/types"/>
    <ds:schemaRef ds:uri="http://purl.org/dc/dcmitype/"/>
    <ds:schemaRef ds:uri="http://purl.org/dc/elements/1.1/"/>
    <ds:schemaRef ds:uri="242c32be-31bf-422c-ab0d-7abc8ae381a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6dc0cf-1d45-4a2f-a37f-b5391cb0490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 Caryl</dc:creator>
  <cp:lastModifiedBy>Bond Caryl (OPCC)</cp:lastModifiedBy>
  <cp:revision>2</cp:revision>
  <dcterms:created xsi:type="dcterms:W3CDTF">2022-03-11T15:12:00Z</dcterms:created>
  <dcterms:modified xsi:type="dcterms:W3CDTF">2022-03-11T15:12:00Z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2022-03-11T15:12:21Z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a303eec6-7cad-4ba9-a58a-07f767a5b024</vt:lpwstr>
  </property>
  <property fmtid="{D5CDD505-2E9C-101B-9397-08002B2CF9AE}" pid="10" name="MSIP_Label_7beefdff-6834-454f-be00-a68b5bc5f471_ContentBits">
    <vt:lpwstr>0</vt:lpwstr>
  </property>
</Properties>
</file>