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2D748807" w:rsidR="0052211E" w:rsidRDefault="00DD2630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October - December</w:t>
      </w:r>
      <w:r w:rsidR="00434D1D">
        <w:rPr>
          <w:b/>
          <w:color w:val="002060"/>
          <w:sz w:val="26"/>
          <w:szCs w:val="26"/>
          <w:u w:val="single"/>
        </w:rPr>
        <w:t xml:space="preserve"> 2021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43D4966E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0F2C8C">
              <w:rPr>
                <w:sz w:val="20"/>
                <w:szCs w:val="20"/>
              </w:rPr>
              <w:t>471</w:t>
            </w:r>
          </w:p>
        </w:tc>
        <w:tc>
          <w:tcPr>
            <w:tcW w:w="992" w:type="dxa"/>
          </w:tcPr>
          <w:p w14:paraId="38E2D7EC" w14:textId="6E80AC7C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</w:t>
            </w:r>
            <w:r w:rsidR="000F2C8C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182562B" w14:textId="45276850" w:rsidR="00E21A82" w:rsidRPr="00154454" w:rsidRDefault="000F2C8C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14:paraId="30309CDE" w14:textId="3782F90B" w:rsidR="00E21A82" w:rsidRPr="00154454" w:rsidRDefault="000F2C8C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14:paraId="53FEC431" w14:textId="248B2C33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</w:t>
            </w:r>
            <w:r w:rsidR="000F2C8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FB979F1" w14:textId="40CB9C47" w:rsidR="00E21A82" w:rsidRPr="00154454" w:rsidRDefault="008E3A4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  <w:r w:rsidR="000F2C8C">
              <w:rPr>
                <w:sz w:val="20"/>
                <w:szCs w:val="20"/>
              </w:rPr>
              <w:t>5</w:t>
            </w:r>
          </w:p>
        </w:tc>
      </w:tr>
    </w:tbl>
    <w:p w14:paraId="606B881A" w14:textId="77777777" w:rsidR="00E21A82" w:rsidRPr="00154454" w:rsidRDefault="00E21A82" w:rsidP="00154454">
      <w:pPr>
        <w:jc w:val="both"/>
        <w:rPr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78"/>
        <w:tblW w:w="5811" w:type="dxa"/>
        <w:tblLayout w:type="fixed"/>
        <w:tblLook w:val="04A0" w:firstRow="1" w:lastRow="0" w:firstColumn="1" w:lastColumn="0" w:noHBand="0" w:noVBand="1"/>
      </w:tblPr>
      <w:tblGrid>
        <w:gridCol w:w="992"/>
        <w:gridCol w:w="1984"/>
        <w:gridCol w:w="1276"/>
        <w:gridCol w:w="1559"/>
      </w:tblGrid>
      <w:tr w:rsidR="00E21A82" w14:paraId="4858D813" w14:textId="77777777" w:rsidTr="00E21A82">
        <w:trPr>
          <w:trHeight w:val="905"/>
        </w:trPr>
        <w:tc>
          <w:tcPr>
            <w:tcW w:w="992" w:type="dxa"/>
          </w:tcPr>
          <w:p w14:paraId="51C8DF0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Number of ICV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Calls</w:t>
            </w:r>
          </w:p>
        </w:tc>
        <w:tc>
          <w:tcPr>
            <w:tcW w:w="1984" w:type="dxa"/>
          </w:tcPr>
          <w:p w14:paraId="221FE456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3C8768D8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/ refused</w:t>
            </w:r>
          </w:p>
        </w:tc>
        <w:tc>
          <w:tcPr>
            <w:tcW w:w="1559" w:type="dxa"/>
          </w:tcPr>
          <w:p w14:paraId="31CE09C0" w14:textId="77777777" w:rsidR="00E21A82" w:rsidRPr="00154454" w:rsidRDefault="00E21A82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 xml:space="preserve">Total number of detainees </w:t>
            </w: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spoken with</w:t>
            </w:r>
          </w:p>
        </w:tc>
      </w:tr>
      <w:tr w:rsidR="00E21A82" w14:paraId="1A72D36D" w14:textId="77777777" w:rsidTr="00E21A82">
        <w:tc>
          <w:tcPr>
            <w:tcW w:w="992" w:type="dxa"/>
          </w:tcPr>
          <w:p w14:paraId="13663C21" w14:textId="38DF0B6E" w:rsidR="00E21A82" w:rsidRPr="00154454" w:rsidRDefault="000F2C8C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541D6EB1" w14:textId="451A6394" w:rsidR="00E21A82" w:rsidRPr="00154454" w:rsidRDefault="000F2C8C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2C58B1" w14:textId="3EA01A46" w:rsidR="00E21A82" w:rsidRPr="00154454" w:rsidRDefault="000F2C8C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2853305B" w14:textId="2FFA5B60" w:rsidR="00E21A82" w:rsidRPr="00154454" w:rsidRDefault="000F2C8C" w:rsidP="00E21A82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CC3BC6" w14:textId="77777777" w:rsidR="007F165A" w:rsidRDefault="007F165A" w:rsidP="00154454">
      <w:pPr>
        <w:jc w:val="both"/>
        <w:rPr>
          <w:b/>
          <w:color w:val="4F81BD" w:themeColor="accent1"/>
          <w:u w:val="single"/>
        </w:rPr>
      </w:pPr>
    </w:p>
    <w:p w14:paraId="3B0BB8A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479A3703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632E8EBD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0F2C8C">
        <w:rPr>
          <w:b/>
          <w:color w:val="4F81BD" w:themeColor="accent1"/>
          <w:u w:val="single"/>
        </w:rPr>
        <w:t>4</w:t>
      </w:r>
    </w:p>
    <w:p w14:paraId="4F0381D2" w14:textId="1B9AE626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0F2C8C">
        <w:t>7</w:t>
      </w:r>
    </w:p>
    <w:p w14:paraId="5498272F" w14:textId="0D8EE57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Powys: 6</w:t>
      </w:r>
    </w:p>
    <w:p w14:paraId="6C24245E" w14:textId="4A017FED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>Ceredigion: 5</w:t>
      </w:r>
    </w:p>
    <w:p w14:paraId="41941260" w14:textId="207C0843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077D64">
        <w:t>6</w:t>
      </w:r>
    </w:p>
    <w:p w14:paraId="4E78F4C8" w14:textId="2EA7D01C" w:rsidR="000F2C8C" w:rsidRDefault="000F2C8C" w:rsidP="000F2C8C">
      <w:pPr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Recruitment</w:t>
      </w:r>
      <w:r w:rsidRPr="000F2C8C">
        <w:rPr>
          <w:b/>
          <w:color w:val="4F81BD" w:themeColor="accent1"/>
          <w:u w:val="single"/>
        </w:rPr>
        <w:t xml:space="preserve"> Update:</w:t>
      </w:r>
    </w:p>
    <w:p w14:paraId="76E78288" w14:textId="66B273A5" w:rsidR="000F2C8C" w:rsidRPr="000F2C8C" w:rsidRDefault="000F2C8C" w:rsidP="000F2C8C">
      <w:pPr>
        <w:pStyle w:val="ListParagraph"/>
        <w:numPr>
          <w:ilvl w:val="0"/>
          <w:numId w:val="12"/>
        </w:numPr>
        <w:jc w:val="both"/>
      </w:pPr>
      <w:r w:rsidRPr="000F2C8C">
        <w:t>1 ICV for the Pembrokeshire Team has been appointed within this quarter.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3047B1F9" w14:textId="53B6711B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in Dyfed-Powys has continued to review Custody records every month. 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>29 records with a focus on anti-rip suits were reviewed over this period.</w:t>
      </w:r>
    </w:p>
    <w:p w14:paraId="0753F079" w14:textId="5F5A593B" w:rsidR="008E3A4B" w:rsidRPr="00CA0660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The OPCC has 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been asked to lead on a pilot which asks ICVs to review the custody records of those who have been issued with an anti-rip suit. The aim of the pilot is to ensure that suits are being issued appropriately with sufficient rationale being recorded within individuals logs. 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The aim is that ICVs will be able to take part in this pilot 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>in January 2022.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</w:t>
      </w:r>
    </w:p>
    <w:p w14:paraId="3A3CFA0B" w14:textId="458FA913" w:rsidR="008E3A4B" w:rsidRDefault="008E3A4B" w:rsidP="00CA0660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CA0660">
        <w:rPr>
          <w:rFonts w:asciiTheme="minorHAnsi" w:eastAsiaTheme="minorHAnsi" w:hAnsiTheme="minorHAnsi"/>
          <w:sz w:val="22"/>
          <w:szCs w:val="22"/>
          <w:lang w:val="en-GB"/>
        </w:rPr>
        <w:t>ICVs have now returned to full time physical visits from September</w:t>
      </w:r>
      <w:r w:rsidR="00CA0660" w:rsidRPr="00CA0660">
        <w:rPr>
          <w:rFonts w:asciiTheme="minorHAnsi" w:eastAsiaTheme="minorHAnsi" w:hAnsiTheme="minorHAnsi"/>
          <w:sz w:val="22"/>
          <w:szCs w:val="22"/>
          <w:lang w:val="en-GB"/>
        </w:rPr>
        <w:t xml:space="preserve"> 2021</w:t>
      </w:r>
      <w:r w:rsidRPr="00CA0660">
        <w:rPr>
          <w:rFonts w:asciiTheme="minorHAnsi" w:eastAsiaTheme="minorHAnsi" w:hAnsiTheme="minorHAnsi"/>
          <w:sz w:val="22"/>
          <w:szCs w:val="22"/>
          <w:lang w:val="en-GB"/>
        </w:rPr>
        <w:t>.</w:t>
      </w:r>
      <w:r w:rsidR="000F2C8C">
        <w:rPr>
          <w:rFonts w:asciiTheme="minorHAnsi" w:eastAsiaTheme="minorHAnsi" w:hAnsiTheme="minorHAnsi"/>
          <w:sz w:val="22"/>
          <w:szCs w:val="22"/>
          <w:lang w:val="en-GB"/>
        </w:rPr>
        <w:t xml:space="preserve"> ICV calls are only made if necessary.</w:t>
      </w:r>
    </w:p>
    <w:p w14:paraId="33562A40" w14:textId="362F7928" w:rsidR="000F2C8C" w:rsidRPr="000F2C8C" w:rsidRDefault="000F2C8C" w:rsidP="000F2C8C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ICVs have identified </w:t>
      </w:r>
      <w:proofErr w:type="gramStart"/>
      <w:r w:rsidRPr="000F2C8C">
        <w:rPr>
          <w:rFonts w:asciiTheme="minorHAnsi" w:eastAsiaTheme="minorHAnsi" w:hAnsiTheme="minorHAnsi"/>
          <w:sz w:val="22"/>
          <w:szCs w:val="22"/>
          <w:lang w:val="en-GB"/>
        </w:rPr>
        <w:t>a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number o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>f</w:t>
      </w:r>
      <w:proofErr w:type="gramEnd"/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repeat estate 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>issues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which 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>has meant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that some cells have been closed for a long period of time.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Work on these cells has been planned.</w:t>
      </w:r>
    </w:p>
    <w:p w14:paraId="0B9FA5C1" w14:textId="191DEA42" w:rsidR="000F2C8C" w:rsidRDefault="000F2C8C" w:rsidP="000F2C8C">
      <w:pPr>
        <w:pStyle w:val="NoSpacing"/>
        <w:numPr>
          <w:ilvl w:val="0"/>
          <w:numId w:val="11"/>
        </w:numPr>
        <w:rPr>
          <w:rFonts w:asciiTheme="minorHAnsi" w:eastAsiaTheme="minorHAnsi" w:hAnsiTheme="minorHAnsi"/>
          <w:sz w:val="22"/>
          <w:szCs w:val="22"/>
          <w:lang w:val="en-GB"/>
        </w:rPr>
      </w:pP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ICVs have noted </w:t>
      </w:r>
      <w:proofErr w:type="gramStart"/>
      <w:r w:rsidRPr="000F2C8C">
        <w:rPr>
          <w:rFonts w:asciiTheme="minorHAnsi" w:eastAsiaTheme="minorHAnsi" w:hAnsiTheme="minorHAnsi"/>
          <w:sz w:val="22"/>
          <w:szCs w:val="22"/>
          <w:lang w:val="en-GB"/>
        </w:rPr>
        <w:t>a number of</w:t>
      </w:r>
      <w:proofErr w:type="gramEnd"/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s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>taff shortages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 xml:space="preserve"> in custody over this period </w:t>
      </w:r>
      <w:r w:rsidRPr="000F2C8C">
        <w:rPr>
          <w:rFonts w:asciiTheme="minorHAnsi" w:eastAsiaTheme="minorHAnsi" w:hAnsiTheme="minorHAnsi"/>
          <w:sz w:val="22"/>
          <w:szCs w:val="22"/>
          <w:lang w:val="en-GB"/>
        </w:rPr>
        <w:t>due to covid-19.</w:t>
      </w:r>
    </w:p>
    <w:p w14:paraId="4225E62C" w14:textId="77777777" w:rsidR="00077D64" w:rsidRDefault="00077D64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5B0E3CAB" w14:textId="0F3D6A5B" w:rsidR="006924B0" w:rsidRPr="00077D64" w:rsidRDefault="006924B0" w:rsidP="00077D64">
      <w:pPr>
        <w:pStyle w:val="Default"/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</w:pPr>
      <w:r w:rsidRPr="00077D64">
        <w:rPr>
          <w:rFonts w:asciiTheme="minorHAnsi" w:hAnsiTheme="minorHAnsi" w:cstheme="minorBidi"/>
          <w:b/>
          <w:color w:val="4F81BD" w:themeColor="accent1"/>
          <w:sz w:val="22"/>
          <w:szCs w:val="22"/>
          <w:u w:val="single"/>
        </w:rPr>
        <w:t>Custody Record reviewing findings:</w:t>
      </w:r>
    </w:p>
    <w:p w14:paraId="4EB6C921" w14:textId="22730BEC" w:rsidR="00FE7797" w:rsidRPr="006924B0" w:rsidRDefault="006924B0" w:rsidP="006924B0">
      <w:pPr>
        <w:jc w:val="both"/>
      </w:pPr>
      <w:r>
        <w:t xml:space="preserve">Whilst ICV visits have been reduced, the Police and Crime Commissioner’s Office has been reviewing a selection of custody records every </w:t>
      </w:r>
      <w:r w:rsidR="00077D64">
        <w:t>month</w:t>
      </w:r>
      <w:r>
        <w:t xml:space="preserve"> </w:t>
      </w:r>
      <w:proofErr w:type="gramStart"/>
      <w:r>
        <w:t>in order to</w:t>
      </w:r>
      <w:proofErr w:type="gramEnd"/>
      <w:r>
        <w:t xml:space="preserve"> maintain an oversight of the custody environment during the pandemic. </w:t>
      </w:r>
      <w:r w:rsidR="00077D64">
        <w:t>Approx. 15 records are reviewed each month.</w:t>
      </w:r>
    </w:p>
    <w:p w14:paraId="74F634AF" w14:textId="79854977" w:rsidR="00FE7797" w:rsidRPr="006924B0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t>No delays in the provision of Appropriate Adult</w:t>
      </w:r>
      <w:r w:rsidR="00FE7797" w:rsidRPr="006924B0">
        <w:t xml:space="preserve">s or </w:t>
      </w:r>
      <w:r w:rsidRPr="006924B0">
        <w:t>remote solicitor advice over the period</w:t>
      </w:r>
      <w:r w:rsidR="00FE7797" w:rsidRPr="006924B0">
        <w:t>.</w:t>
      </w:r>
    </w:p>
    <w:p w14:paraId="24501324" w14:textId="5F6EF6E0" w:rsidR="00FE7797" w:rsidRDefault="006924B0" w:rsidP="00FE7797">
      <w:pPr>
        <w:pStyle w:val="ListParagraph"/>
        <w:numPr>
          <w:ilvl w:val="0"/>
          <w:numId w:val="8"/>
        </w:numPr>
        <w:spacing w:line="360" w:lineRule="auto"/>
      </w:pPr>
      <w:r w:rsidRPr="006924B0">
        <w:lastRenderedPageBreak/>
        <w:t>The availability of alternative accommodation</w:t>
      </w:r>
      <w:r w:rsidR="00FE7797" w:rsidRPr="006924B0">
        <w:t xml:space="preserve"> for chi</w:t>
      </w:r>
      <w:r w:rsidRPr="006924B0">
        <w:t xml:space="preserve">ldren continues to be an issue and </w:t>
      </w:r>
      <w:r w:rsidR="00FE7797" w:rsidRPr="006924B0">
        <w:t>this is being discussed at an all Wales level.</w:t>
      </w:r>
    </w:p>
    <w:p w14:paraId="3F01D979" w14:textId="329D0EA3" w:rsidR="00325C47" w:rsidRDefault="00325C47" w:rsidP="00FE7797">
      <w:pPr>
        <w:pStyle w:val="ListParagraph"/>
        <w:numPr>
          <w:ilvl w:val="0"/>
          <w:numId w:val="8"/>
        </w:numPr>
        <w:spacing w:line="360" w:lineRule="auto"/>
      </w:pPr>
      <w:r>
        <w:t>There is a lack of detail being recorded within custody logs in relation to the provision of hygiene matters such as handwashing and showers.</w:t>
      </w:r>
    </w:p>
    <w:p w14:paraId="4E475C01" w14:textId="7D405915" w:rsidR="00077D64" w:rsidRPr="006924B0" w:rsidRDefault="00CA0660" w:rsidP="00FE7797">
      <w:pPr>
        <w:pStyle w:val="ListParagraph"/>
        <w:numPr>
          <w:ilvl w:val="0"/>
          <w:numId w:val="8"/>
        </w:numPr>
        <w:spacing w:line="360" w:lineRule="auto"/>
      </w:pPr>
      <w:r>
        <w:t xml:space="preserve">The OPCC </w:t>
      </w:r>
      <w:r w:rsidR="000F2C8C">
        <w:t>has started to</w:t>
      </w:r>
      <w:r>
        <w:t xml:space="preserve"> review</w:t>
      </w:r>
      <w:r w:rsidR="000F2C8C">
        <w:t xml:space="preserve"> </w:t>
      </w:r>
      <w:r>
        <w:t>records with a focus on the issuing of anti-rip suits</w:t>
      </w:r>
      <w:r w:rsidR="000F2C8C">
        <w:t xml:space="preserve">. It has been found that there is a lack of detail recorded within the rationale of some custody logs for the issuing of the suits. </w:t>
      </w: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35A2" w14:textId="2046E0DF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630">
      <w:rPr>
        <w:rFonts w:ascii="Lato" w:hAnsi="Lato" w:cs="Helvetica"/>
        <w:noProof/>
        <w:color w:val="265C89"/>
        <w:lang w:eastAsia="en-GB"/>
      </w:rPr>
      <w:t>October - December</w:t>
    </w:r>
    <w:r w:rsidR="00E21A82">
      <w:rPr>
        <w:rFonts w:ascii="Lato" w:hAnsi="Lato" w:cs="Helvetica"/>
        <w:noProof/>
        <w:color w:val="265C89"/>
        <w:lang w:eastAsia="en-GB"/>
      </w:rPr>
      <w:t xml:space="preserve"> 2021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F94"/>
    <w:multiLevelType w:val="hybridMultilevel"/>
    <w:tmpl w:val="E770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0F2C8C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630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10C90-3B64-4F8D-9EBE-AAD565CCB1E0}">
  <ds:schemaRefs>
    <ds:schemaRef ds:uri="http://schemas.microsoft.com/office/2006/documentManagement/types"/>
    <ds:schemaRef ds:uri="http://purl.org/dc/dcmitype/"/>
    <ds:schemaRef ds:uri="http://purl.org/dc/elements/1.1/"/>
    <ds:schemaRef ds:uri="242c32be-31bf-422c-ab0d-7abc8ae381a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6dc0cf-1d45-4a2f-a37f-b5391cb0490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2022-03-11T16:32:00Z</dcterms:created>
  <dcterms:modified xsi:type="dcterms:W3CDTF">2022-03-11T16:32:00Z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