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7F6B" w14:textId="77777777" w:rsidR="00A05F9D" w:rsidRDefault="00A05F9D"/>
    <w:p w14:paraId="6BBDF260" w14:textId="77777777" w:rsidR="00B3272B" w:rsidRDefault="00B3272B"/>
    <w:p w14:paraId="733373E1" w14:textId="77777777" w:rsidR="00E6661E" w:rsidRDefault="00E6661E">
      <w:pPr>
        <w:rPr>
          <w:rStyle w:val="cf01"/>
        </w:rPr>
      </w:pPr>
      <w:proofErr w:type="spellStart"/>
      <w:r>
        <w:rPr>
          <w:rStyle w:val="cf01"/>
        </w:rPr>
        <w:t>Mae'r</w:t>
      </w:r>
      <w:proofErr w:type="spellEnd"/>
      <w:r>
        <w:rPr>
          <w:rStyle w:val="cf01"/>
        </w:rPr>
        <w:t xml:space="preserve"> </w:t>
      </w:r>
      <w:proofErr w:type="spellStart"/>
      <w:r>
        <w:rPr>
          <w:rStyle w:val="cf01"/>
        </w:rPr>
        <w:t>ddogfen</w:t>
      </w:r>
      <w:proofErr w:type="spellEnd"/>
      <w:r>
        <w:rPr>
          <w:rStyle w:val="cf01"/>
        </w:rPr>
        <w:t xml:space="preserve"> hon </w:t>
      </w:r>
      <w:proofErr w:type="spellStart"/>
      <w:r>
        <w:rPr>
          <w:rStyle w:val="cf01"/>
        </w:rPr>
        <w:t>ar</w:t>
      </w:r>
      <w:proofErr w:type="spellEnd"/>
      <w:r>
        <w:rPr>
          <w:rStyle w:val="cf01"/>
        </w:rPr>
        <w:t xml:space="preserve"> </w:t>
      </w:r>
      <w:proofErr w:type="spellStart"/>
      <w:r>
        <w:rPr>
          <w:rStyle w:val="cf01"/>
        </w:rPr>
        <w:t>gael</w:t>
      </w:r>
      <w:proofErr w:type="spellEnd"/>
      <w:r>
        <w:rPr>
          <w:rStyle w:val="cf01"/>
        </w:rPr>
        <w:t xml:space="preserve"> </w:t>
      </w:r>
      <w:proofErr w:type="spellStart"/>
      <w:r>
        <w:rPr>
          <w:rStyle w:val="cf01"/>
        </w:rPr>
        <w:t>yn</w:t>
      </w:r>
      <w:proofErr w:type="spellEnd"/>
      <w:r>
        <w:rPr>
          <w:rStyle w:val="cf01"/>
        </w:rPr>
        <w:t xml:space="preserve"> </w:t>
      </w:r>
      <w:proofErr w:type="spellStart"/>
      <w:r>
        <w:rPr>
          <w:rStyle w:val="cf01"/>
        </w:rPr>
        <w:t>Gymraeg</w:t>
      </w:r>
      <w:proofErr w:type="spellEnd"/>
    </w:p>
    <w:p w14:paraId="71084A27" w14:textId="0596547A" w:rsidR="00236B0D" w:rsidRDefault="00711D93">
      <w:r>
        <w:t xml:space="preserve">This Document is available in </w:t>
      </w:r>
      <w:proofErr w:type="gramStart"/>
      <w:r>
        <w:t>Welsh</w:t>
      </w:r>
      <w:proofErr w:type="gramEnd"/>
    </w:p>
    <w:p w14:paraId="6611AEFB" w14:textId="77777777" w:rsidR="00236B0D" w:rsidRDefault="00236B0D"/>
    <w:p w14:paraId="4F72B3EA" w14:textId="4F084218" w:rsidR="00B3272B" w:rsidRDefault="00E43C98" w:rsidP="00B3272B">
      <w:pPr>
        <w:jc w:val="center"/>
      </w:pPr>
      <w:r w:rsidRPr="00347117">
        <w:rPr>
          <w:noProof/>
        </w:rPr>
        <w:drawing>
          <wp:inline distT="0" distB="0" distL="0" distR="0" wp14:anchorId="0ADC71F5" wp14:editId="1678BDC3">
            <wp:extent cx="2904467"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606" cy="1596782"/>
                    </a:xfrm>
                    <a:prstGeom prst="rect">
                      <a:avLst/>
                    </a:prstGeom>
                    <a:noFill/>
                  </pic:spPr>
                </pic:pic>
              </a:graphicData>
            </a:graphic>
          </wp:inline>
        </w:drawing>
      </w:r>
    </w:p>
    <w:p w14:paraId="7E6D04F3" w14:textId="77777777" w:rsidR="00B3272B" w:rsidRPr="00B3272B" w:rsidRDefault="00B3272B" w:rsidP="00B3272B"/>
    <w:p w14:paraId="3763E287" w14:textId="77777777" w:rsidR="00B3272B" w:rsidRDefault="00B3272B" w:rsidP="00B3272B"/>
    <w:p w14:paraId="0DF61F73" w14:textId="77777777" w:rsidR="00B3272B" w:rsidRDefault="00B3272B" w:rsidP="00B3272B">
      <w:pPr>
        <w:tabs>
          <w:tab w:val="left" w:pos="3360"/>
        </w:tabs>
      </w:pPr>
      <w:r>
        <w:tab/>
      </w:r>
    </w:p>
    <w:p w14:paraId="3621406A" w14:textId="77777777" w:rsidR="00B3272B" w:rsidRDefault="00B3272B" w:rsidP="00B3272B">
      <w:pPr>
        <w:tabs>
          <w:tab w:val="left" w:pos="3360"/>
        </w:tabs>
      </w:pPr>
    </w:p>
    <w:p w14:paraId="34B100D8" w14:textId="77777777" w:rsidR="00305936" w:rsidRPr="00305936" w:rsidRDefault="00305936" w:rsidP="00B3272B">
      <w:pPr>
        <w:pStyle w:val="Heading2"/>
        <w:jc w:val="center"/>
        <w:rPr>
          <w:noProof/>
          <w:sz w:val="40"/>
          <w:szCs w:val="40"/>
          <w:lang w:eastAsia="en-GB"/>
        </w:rPr>
      </w:pPr>
      <w:r w:rsidRPr="00305936">
        <w:rPr>
          <w:noProof/>
          <w:sz w:val="40"/>
          <w:szCs w:val="40"/>
          <w:lang w:eastAsia="en-GB"/>
        </w:rPr>
        <w:t>Police and Crime Commissioner’s Office</w:t>
      </w:r>
    </w:p>
    <w:p w14:paraId="057A2C40" w14:textId="362043DF" w:rsidR="00B3272B" w:rsidRDefault="00B3272B" w:rsidP="00B3272B">
      <w:pPr>
        <w:pStyle w:val="Heading2"/>
        <w:jc w:val="center"/>
        <w:rPr>
          <w:noProof/>
          <w:sz w:val="40"/>
          <w:szCs w:val="40"/>
          <w:lang w:eastAsia="en-GB"/>
        </w:rPr>
      </w:pPr>
      <w:r w:rsidRPr="00305936">
        <w:rPr>
          <w:noProof/>
          <w:sz w:val="40"/>
          <w:szCs w:val="40"/>
          <w:lang w:eastAsia="en-GB"/>
        </w:rPr>
        <w:t>COMPLIANCE REPORT</w:t>
      </w:r>
      <w:r w:rsidR="00544E07">
        <w:rPr>
          <w:noProof/>
          <w:sz w:val="40"/>
          <w:szCs w:val="40"/>
          <w:lang w:eastAsia="en-GB"/>
        </w:rPr>
        <w:t xml:space="preserve"> 202</w:t>
      </w:r>
      <w:r w:rsidR="00FC6F42">
        <w:rPr>
          <w:noProof/>
          <w:sz w:val="40"/>
          <w:szCs w:val="40"/>
          <w:lang w:eastAsia="en-GB"/>
        </w:rPr>
        <w:t>3</w:t>
      </w:r>
    </w:p>
    <w:p w14:paraId="3B003531" w14:textId="7F87148F" w:rsidR="00305936" w:rsidRPr="00305936" w:rsidRDefault="00305936" w:rsidP="00305936">
      <w:pPr>
        <w:jc w:val="center"/>
        <w:rPr>
          <w:color w:val="244061" w:themeColor="accent1" w:themeShade="80"/>
          <w:sz w:val="24"/>
          <w:szCs w:val="24"/>
          <w:lang w:eastAsia="en-GB"/>
        </w:rPr>
      </w:pPr>
      <w:r w:rsidRPr="00305936">
        <w:rPr>
          <w:color w:val="244061" w:themeColor="accent1" w:themeShade="80"/>
          <w:sz w:val="24"/>
          <w:szCs w:val="24"/>
          <w:lang w:eastAsia="en-GB"/>
        </w:rPr>
        <w:t>01/0</w:t>
      </w:r>
      <w:r w:rsidR="00B82A19">
        <w:rPr>
          <w:color w:val="244061" w:themeColor="accent1" w:themeShade="80"/>
          <w:sz w:val="24"/>
          <w:szCs w:val="24"/>
          <w:lang w:eastAsia="en-GB"/>
        </w:rPr>
        <w:t>4</w:t>
      </w:r>
      <w:r w:rsidR="00544E07">
        <w:rPr>
          <w:color w:val="244061" w:themeColor="accent1" w:themeShade="80"/>
          <w:sz w:val="24"/>
          <w:szCs w:val="24"/>
          <w:lang w:eastAsia="en-GB"/>
        </w:rPr>
        <w:t>/</w:t>
      </w:r>
      <w:r w:rsidR="00FC6F42">
        <w:rPr>
          <w:color w:val="244061" w:themeColor="accent1" w:themeShade="80"/>
          <w:sz w:val="24"/>
          <w:szCs w:val="24"/>
          <w:lang w:eastAsia="en-GB"/>
        </w:rPr>
        <w:t xml:space="preserve">2022 </w:t>
      </w:r>
      <w:r w:rsidR="00544E07">
        <w:rPr>
          <w:color w:val="244061" w:themeColor="accent1" w:themeShade="80"/>
          <w:sz w:val="24"/>
          <w:szCs w:val="24"/>
          <w:lang w:eastAsia="en-GB"/>
        </w:rPr>
        <w:t>– 31/03/</w:t>
      </w:r>
      <w:r w:rsidR="00FC6F42">
        <w:rPr>
          <w:color w:val="244061" w:themeColor="accent1" w:themeShade="80"/>
          <w:sz w:val="24"/>
          <w:szCs w:val="24"/>
          <w:lang w:eastAsia="en-GB"/>
        </w:rPr>
        <w:t>2023</w:t>
      </w:r>
    </w:p>
    <w:p w14:paraId="12057D82" w14:textId="77777777" w:rsidR="00B3272B" w:rsidRDefault="00B3272B" w:rsidP="00B3272B">
      <w:pPr>
        <w:tabs>
          <w:tab w:val="left" w:pos="3360"/>
        </w:tabs>
        <w:jc w:val="center"/>
      </w:pPr>
    </w:p>
    <w:p w14:paraId="77AC9C7F" w14:textId="77777777" w:rsidR="00B3272B" w:rsidRDefault="00B3272B" w:rsidP="00B3272B">
      <w:pPr>
        <w:tabs>
          <w:tab w:val="left" w:pos="3360"/>
        </w:tabs>
        <w:jc w:val="center"/>
      </w:pPr>
    </w:p>
    <w:p w14:paraId="33FC9DC9" w14:textId="77777777" w:rsidR="00B3272B" w:rsidRDefault="00B3272B" w:rsidP="00B3272B">
      <w:pPr>
        <w:tabs>
          <w:tab w:val="left" w:pos="3360"/>
        </w:tabs>
        <w:jc w:val="center"/>
      </w:pPr>
    </w:p>
    <w:p w14:paraId="7D3E0633" w14:textId="77777777" w:rsidR="00B3272B" w:rsidRDefault="00B3272B" w:rsidP="00B3272B">
      <w:pPr>
        <w:tabs>
          <w:tab w:val="left" w:pos="3360"/>
        </w:tabs>
        <w:jc w:val="center"/>
      </w:pPr>
    </w:p>
    <w:p w14:paraId="4F80DF18" w14:textId="77777777" w:rsidR="00B3272B" w:rsidRDefault="00B3272B" w:rsidP="00B3272B">
      <w:pPr>
        <w:tabs>
          <w:tab w:val="left" w:pos="3360"/>
        </w:tabs>
        <w:jc w:val="center"/>
      </w:pPr>
    </w:p>
    <w:p w14:paraId="1DFB6C45" w14:textId="77777777" w:rsidR="00B3272B" w:rsidRDefault="00B3272B" w:rsidP="00B3272B">
      <w:pPr>
        <w:tabs>
          <w:tab w:val="left" w:pos="3360"/>
        </w:tabs>
        <w:jc w:val="center"/>
      </w:pPr>
    </w:p>
    <w:p w14:paraId="517550A8" w14:textId="77777777" w:rsidR="00B3272B" w:rsidRDefault="00B3272B" w:rsidP="00B3272B">
      <w:pPr>
        <w:tabs>
          <w:tab w:val="left" w:pos="3360"/>
        </w:tabs>
        <w:jc w:val="center"/>
      </w:pPr>
    </w:p>
    <w:p w14:paraId="1CA422B6" w14:textId="77777777" w:rsidR="000A1844" w:rsidRDefault="000A1844" w:rsidP="00B3272B">
      <w:pPr>
        <w:tabs>
          <w:tab w:val="left" w:pos="3360"/>
        </w:tabs>
        <w:jc w:val="center"/>
      </w:pPr>
    </w:p>
    <w:p w14:paraId="5FD46640" w14:textId="77777777" w:rsidR="00236B0D" w:rsidRDefault="00236B0D" w:rsidP="00B3272B">
      <w:pPr>
        <w:tabs>
          <w:tab w:val="left" w:pos="3360"/>
        </w:tabs>
        <w:rPr>
          <w:rFonts w:ascii="Verdana" w:hAnsi="Verdana"/>
          <w:b/>
          <w:sz w:val="24"/>
          <w:szCs w:val="24"/>
        </w:rPr>
      </w:pPr>
    </w:p>
    <w:p w14:paraId="72637FB0" w14:textId="77777777" w:rsidR="00B3272B" w:rsidRPr="00B3272B" w:rsidRDefault="00B3272B" w:rsidP="00B3272B">
      <w:pPr>
        <w:tabs>
          <w:tab w:val="left" w:pos="3360"/>
        </w:tabs>
        <w:rPr>
          <w:rFonts w:ascii="Verdana" w:hAnsi="Verdana"/>
          <w:b/>
          <w:sz w:val="24"/>
          <w:szCs w:val="24"/>
        </w:rPr>
      </w:pPr>
      <w:r w:rsidRPr="00B3272B">
        <w:rPr>
          <w:rFonts w:ascii="Verdana" w:hAnsi="Verdana"/>
          <w:b/>
          <w:sz w:val="24"/>
          <w:szCs w:val="24"/>
        </w:rPr>
        <w:t>Introduction</w:t>
      </w:r>
    </w:p>
    <w:p w14:paraId="6E2665FD" w14:textId="4C37F711" w:rsidR="00B3272B" w:rsidRDefault="00FD411A" w:rsidP="00B3272B">
      <w:pPr>
        <w:tabs>
          <w:tab w:val="left" w:pos="3360"/>
        </w:tabs>
        <w:rPr>
          <w:rFonts w:ascii="Verdana" w:hAnsi="Verdana"/>
        </w:rPr>
      </w:pPr>
      <w:r>
        <w:rPr>
          <w:rFonts w:ascii="Verdana" w:hAnsi="Verdana"/>
        </w:rPr>
        <w:t>This</w:t>
      </w:r>
      <w:r w:rsidR="00B3272B" w:rsidRPr="00EC0F17">
        <w:rPr>
          <w:rFonts w:ascii="Verdana" w:hAnsi="Verdana"/>
        </w:rPr>
        <w:t xml:space="preserve"> pa</w:t>
      </w:r>
      <w:r w:rsidR="00EC0F17">
        <w:rPr>
          <w:rFonts w:ascii="Verdana" w:hAnsi="Verdana"/>
        </w:rPr>
        <w:t>per h</w:t>
      </w:r>
      <w:r>
        <w:rPr>
          <w:rFonts w:ascii="Verdana" w:hAnsi="Verdana"/>
        </w:rPr>
        <w:t>as been compiled to give a brief</w:t>
      </w:r>
      <w:r w:rsidR="00B3272B" w:rsidRPr="00EC0F17">
        <w:rPr>
          <w:rFonts w:ascii="Verdana" w:hAnsi="Verdana"/>
        </w:rPr>
        <w:t xml:space="preserve"> overview of compliance within the Office for the Po</w:t>
      </w:r>
      <w:r w:rsidR="00EC0F17">
        <w:rPr>
          <w:rFonts w:ascii="Verdana" w:hAnsi="Verdana"/>
        </w:rPr>
        <w:t>lice and Crime Commissioner</w:t>
      </w:r>
      <w:r w:rsidR="00544E07">
        <w:rPr>
          <w:rFonts w:ascii="Verdana" w:hAnsi="Verdana"/>
        </w:rPr>
        <w:t xml:space="preserve"> over the period from April </w:t>
      </w:r>
      <w:r w:rsidR="00FC6F42">
        <w:rPr>
          <w:rFonts w:ascii="Verdana" w:hAnsi="Verdana"/>
        </w:rPr>
        <w:t xml:space="preserve">2022 </w:t>
      </w:r>
      <w:r w:rsidR="00544E07">
        <w:rPr>
          <w:rFonts w:ascii="Verdana" w:hAnsi="Verdana"/>
        </w:rPr>
        <w:t xml:space="preserve">– March </w:t>
      </w:r>
      <w:r w:rsidR="00FC6F42">
        <w:rPr>
          <w:rFonts w:ascii="Verdana" w:hAnsi="Verdana"/>
        </w:rPr>
        <w:t>2023</w:t>
      </w:r>
      <w:r w:rsidR="00EC0F17">
        <w:rPr>
          <w:rFonts w:ascii="Verdana" w:hAnsi="Verdana"/>
        </w:rPr>
        <w:t>.</w:t>
      </w:r>
    </w:p>
    <w:p w14:paraId="3BC030BF" w14:textId="77777777" w:rsidR="000A1844" w:rsidRPr="00EC0F17" w:rsidRDefault="000A1844" w:rsidP="00B3272B">
      <w:pPr>
        <w:tabs>
          <w:tab w:val="left" w:pos="3360"/>
        </w:tabs>
        <w:rPr>
          <w:rFonts w:ascii="Verdana" w:hAnsi="Verdana"/>
        </w:rPr>
      </w:pPr>
    </w:p>
    <w:p w14:paraId="571AEC4C" w14:textId="77777777" w:rsidR="00CD41CB" w:rsidRDefault="00CD41CB" w:rsidP="00B3272B">
      <w:pPr>
        <w:tabs>
          <w:tab w:val="left" w:pos="3360"/>
        </w:tabs>
        <w:rPr>
          <w:rFonts w:ascii="Verdana" w:hAnsi="Verdana"/>
          <w:b/>
          <w:sz w:val="24"/>
          <w:szCs w:val="24"/>
        </w:rPr>
      </w:pPr>
      <w:r w:rsidRPr="00CD41CB">
        <w:rPr>
          <w:rFonts w:ascii="Verdana" w:hAnsi="Verdana"/>
          <w:b/>
          <w:sz w:val="24"/>
          <w:szCs w:val="24"/>
        </w:rPr>
        <w:t>Contents</w:t>
      </w:r>
    </w:p>
    <w:p w14:paraId="3EE80271" w14:textId="169C9FBF" w:rsidR="00CD41CB" w:rsidRDefault="00292EED" w:rsidP="00292EED">
      <w:pPr>
        <w:spacing w:line="240" w:lineRule="auto"/>
        <w:rPr>
          <w:rFonts w:ascii="Verdana" w:hAnsi="Verdana"/>
        </w:rPr>
      </w:pPr>
      <w:r w:rsidRPr="00292EED">
        <w:rPr>
          <w:rFonts w:ascii="Verdana" w:hAnsi="Verdana"/>
        </w:rPr>
        <w:t xml:space="preserve">1. </w:t>
      </w:r>
      <w:r w:rsidR="00CD41CB" w:rsidRPr="00292EED">
        <w:rPr>
          <w:rFonts w:ascii="Verdana" w:hAnsi="Verdana"/>
        </w:rPr>
        <w:t>Publishing Requirements</w:t>
      </w:r>
    </w:p>
    <w:p w14:paraId="0DA6CF85" w14:textId="4A6C1FC2" w:rsidR="00292EED" w:rsidRDefault="00292EED" w:rsidP="00292EED">
      <w:pPr>
        <w:spacing w:line="240" w:lineRule="auto"/>
        <w:rPr>
          <w:rFonts w:ascii="Verdana" w:hAnsi="Verdana"/>
        </w:rPr>
      </w:pPr>
      <w:r w:rsidRPr="00292EED">
        <w:rPr>
          <w:rFonts w:ascii="Verdana" w:hAnsi="Verdana"/>
        </w:rPr>
        <w:t>2. Welsh Language</w:t>
      </w:r>
    </w:p>
    <w:p w14:paraId="09EFF20D" w14:textId="3CF22D03" w:rsidR="00BD0BFA" w:rsidRDefault="00292EED" w:rsidP="00292EED">
      <w:pPr>
        <w:spacing w:line="240" w:lineRule="auto"/>
        <w:rPr>
          <w:rFonts w:ascii="Verdana" w:hAnsi="Verdana"/>
        </w:rPr>
      </w:pPr>
      <w:r>
        <w:rPr>
          <w:rFonts w:ascii="Verdana" w:hAnsi="Verdana"/>
        </w:rPr>
        <w:t xml:space="preserve">3. </w:t>
      </w:r>
      <w:r w:rsidR="005C46DD">
        <w:rPr>
          <w:rFonts w:ascii="Verdana" w:hAnsi="Verdana"/>
        </w:rPr>
        <w:t>Information Management</w:t>
      </w:r>
    </w:p>
    <w:p w14:paraId="55258B2D" w14:textId="000820C5" w:rsidR="00CD41CB" w:rsidRDefault="00292EED" w:rsidP="00292EED">
      <w:pPr>
        <w:spacing w:line="240" w:lineRule="auto"/>
        <w:rPr>
          <w:rFonts w:ascii="Verdana" w:hAnsi="Verdana"/>
        </w:rPr>
      </w:pPr>
      <w:r>
        <w:rPr>
          <w:rFonts w:ascii="Verdana" w:hAnsi="Verdana"/>
        </w:rPr>
        <w:t xml:space="preserve">4. </w:t>
      </w:r>
      <w:r w:rsidR="00CD41CB" w:rsidRPr="00B01249">
        <w:rPr>
          <w:rFonts w:ascii="Verdana" w:hAnsi="Verdana"/>
        </w:rPr>
        <w:t>Records Management</w:t>
      </w:r>
    </w:p>
    <w:p w14:paraId="1C592EDE" w14:textId="01C8037E" w:rsidR="00EC0F17" w:rsidRDefault="00292EED" w:rsidP="00292EED">
      <w:pPr>
        <w:spacing w:line="240" w:lineRule="auto"/>
        <w:rPr>
          <w:rFonts w:ascii="Verdana" w:hAnsi="Verdana"/>
        </w:rPr>
      </w:pPr>
      <w:r>
        <w:rPr>
          <w:rFonts w:ascii="Verdana" w:hAnsi="Verdana"/>
        </w:rPr>
        <w:t xml:space="preserve">5. </w:t>
      </w:r>
      <w:r w:rsidR="00BD0BFA">
        <w:rPr>
          <w:rFonts w:ascii="Verdana" w:hAnsi="Verdana"/>
        </w:rPr>
        <w:t>F</w:t>
      </w:r>
      <w:r w:rsidR="00CD41CB" w:rsidRPr="00B01249">
        <w:rPr>
          <w:rFonts w:ascii="Verdana" w:hAnsi="Verdana"/>
        </w:rPr>
        <w:t xml:space="preserve">reedom of Information </w:t>
      </w:r>
    </w:p>
    <w:p w14:paraId="2467B53F" w14:textId="3F356075" w:rsidR="00CD41CB" w:rsidRDefault="00292EED" w:rsidP="00292EED">
      <w:pPr>
        <w:spacing w:line="240" w:lineRule="auto"/>
        <w:rPr>
          <w:rFonts w:ascii="Verdana" w:hAnsi="Verdana"/>
        </w:rPr>
      </w:pPr>
      <w:r>
        <w:rPr>
          <w:rFonts w:ascii="Verdana" w:hAnsi="Verdana"/>
        </w:rPr>
        <w:t xml:space="preserve">6. </w:t>
      </w:r>
      <w:r w:rsidR="00CD41CB" w:rsidRPr="00B01249">
        <w:rPr>
          <w:rFonts w:ascii="Verdana" w:hAnsi="Verdana"/>
        </w:rPr>
        <w:t>Subject Access Request</w:t>
      </w:r>
    </w:p>
    <w:p w14:paraId="39A0E703" w14:textId="18E20261" w:rsidR="00EC0F17" w:rsidRDefault="00292EED" w:rsidP="00292EED">
      <w:pPr>
        <w:spacing w:line="240" w:lineRule="auto"/>
        <w:rPr>
          <w:rFonts w:ascii="Verdana" w:hAnsi="Verdana"/>
        </w:rPr>
      </w:pPr>
      <w:r>
        <w:rPr>
          <w:rFonts w:ascii="Verdana" w:hAnsi="Verdana"/>
        </w:rPr>
        <w:t xml:space="preserve">7. </w:t>
      </w:r>
      <w:r w:rsidR="00EC0F17">
        <w:rPr>
          <w:rFonts w:ascii="Verdana" w:hAnsi="Verdana"/>
        </w:rPr>
        <w:t>Risk</w:t>
      </w:r>
    </w:p>
    <w:p w14:paraId="6CCB2F9C" w14:textId="0BE3740B" w:rsidR="00CD41CB" w:rsidRDefault="00292EED" w:rsidP="00292EED">
      <w:pPr>
        <w:spacing w:line="240" w:lineRule="auto"/>
        <w:rPr>
          <w:rFonts w:ascii="Verdana" w:hAnsi="Verdana"/>
        </w:rPr>
      </w:pPr>
      <w:r>
        <w:rPr>
          <w:rFonts w:ascii="Verdana" w:hAnsi="Verdana"/>
        </w:rPr>
        <w:t xml:space="preserve">8. </w:t>
      </w:r>
      <w:r w:rsidR="00CD41CB" w:rsidRPr="00C43167">
        <w:rPr>
          <w:rFonts w:ascii="Verdana" w:hAnsi="Verdana"/>
        </w:rPr>
        <w:t>Business Continuity</w:t>
      </w:r>
    </w:p>
    <w:p w14:paraId="49EE657D" w14:textId="6E77B444" w:rsidR="00CD41CB" w:rsidRDefault="00292EED" w:rsidP="00292EED">
      <w:pPr>
        <w:spacing w:line="240" w:lineRule="auto"/>
        <w:rPr>
          <w:rFonts w:ascii="Verdana" w:hAnsi="Verdana"/>
        </w:rPr>
      </w:pPr>
      <w:r>
        <w:rPr>
          <w:rFonts w:ascii="Verdana" w:hAnsi="Verdana"/>
        </w:rPr>
        <w:t xml:space="preserve">9. </w:t>
      </w:r>
      <w:r w:rsidR="00EC0F17">
        <w:rPr>
          <w:rFonts w:ascii="Verdana" w:hAnsi="Verdana"/>
        </w:rPr>
        <w:t>Policing Protocol Order 2011</w:t>
      </w:r>
    </w:p>
    <w:p w14:paraId="59B842F3" w14:textId="1537C5C3" w:rsidR="00EC0F17" w:rsidRDefault="00292EED" w:rsidP="00292EED">
      <w:pPr>
        <w:spacing w:line="240" w:lineRule="auto"/>
        <w:rPr>
          <w:rFonts w:ascii="Verdana" w:hAnsi="Verdana"/>
        </w:rPr>
      </w:pPr>
      <w:r>
        <w:rPr>
          <w:rFonts w:ascii="Verdana" w:hAnsi="Verdana"/>
        </w:rPr>
        <w:t xml:space="preserve">10. </w:t>
      </w:r>
      <w:r w:rsidR="00EC0F17">
        <w:rPr>
          <w:rFonts w:ascii="Verdana" w:hAnsi="Verdana"/>
        </w:rPr>
        <w:t>Training</w:t>
      </w:r>
    </w:p>
    <w:p w14:paraId="0CED5C9E" w14:textId="4E6FDA8B" w:rsidR="00CD41CB" w:rsidRDefault="00292EED" w:rsidP="00292EED">
      <w:pPr>
        <w:spacing w:line="240" w:lineRule="auto"/>
        <w:rPr>
          <w:rFonts w:ascii="Verdana" w:hAnsi="Verdana"/>
        </w:rPr>
      </w:pPr>
      <w:r>
        <w:rPr>
          <w:rFonts w:ascii="Verdana" w:hAnsi="Verdana"/>
        </w:rPr>
        <w:t xml:space="preserve">11. </w:t>
      </w:r>
      <w:r w:rsidR="001C5889">
        <w:rPr>
          <w:rFonts w:ascii="Verdana" w:hAnsi="Verdana"/>
        </w:rPr>
        <w:t>HR</w:t>
      </w:r>
    </w:p>
    <w:p w14:paraId="5A65AF13" w14:textId="2567156F" w:rsidR="00A834E8" w:rsidRDefault="00292EED" w:rsidP="00292EED">
      <w:pPr>
        <w:spacing w:line="240" w:lineRule="auto"/>
        <w:rPr>
          <w:rFonts w:ascii="Verdana" w:hAnsi="Verdana"/>
        </w:rPr>
      </w:pPr>
      <w:r>
        <w:rPr>
          <w:rFonts w:ascii="Verdana" w:hAnsi="Verdana"/>
        </w:rPr>
        <w:t xml:space="preserve">12. </w:t>
      </w:r>
      <w:r w:rsidR="00A834E8">
        <w:rPr>
          <w:rFonts w:ascii="Verdana" w:hAnsi="Verdana"/>
        </w:rPr>
        <w:t>Policy Work</w:t>
      </w:r>
    </w:p>
    <w:p w14:paraId="0906C1F0" w14:textId="329E5C8E" w:rsidR="00CD41CB" w:rsidRDefault="00CD41CB" w:rsidP="00292EED">
      <w:pPr>
        <w:tabs>
          <w:tab w:val="left" w:pos="3360"/>
        </w:tabs>
        <w:spacing w:line="240" w:lineRule="auto"/>
        <w:rPr>
          <w:rFonts w:ascii="Verdana" w:hAnsi="Verdana"/>
          <w:sz w:val="24"/>
          <w:szCs w:val="24"/>
        </w:rPr>
      </w:pPr>
    </w:p>
    <w:p w14:paraId="5376A870" w14:textId="77777777" w:rsidR="00A95806" w:rsidRDefault="00A95806" w:rsidP="00292EED">
      <w:pPr>
        <w:tabs>
          <w:tab w:val="left" w:pos="3360"/>
        </w:tabs>
        <w:spacing w:line="240" w:lineRule="auto"/>
        <w:rPr>
          <w:rFonts w:ascii="Verdana" w:hAnsi="Verdana"/>
          <w:sz w:val="24"/>
          <w:szCs w:val="24"/>
        </w:rPr>
      </w:pPr>
    </w:p>
    <w:p w14:paraId="561FC355" w14:textId="77777777" w:rsidR="00A95806" w:rsidRDefault="00A95806" w:rsidP="00292EED">
      <w:pPr>
        <w:tabs>
          <w:tab w:val="left" w:pos="3360"/>
        </w:tabs>
        <w:spacing w:line="240" w:lineRule="auto"/>
        <w:rPr>
          <w:rFonts w:ascii="Verdana" w:hAnsi="Verdana"/>
          <w:sz w:val="24"/>
          <w:szCs w:val="24"/>
        </w:rPr>
      </w:pPr>
    </w:p>
    <w:p w14:paraId="51B29A14" w14:textId="77777777" w:rsidR="00A95806" w:rsidRDefault="00A95806" w:rsidP="00292EED">
      <w:pPr>
        <w:tabs>
          <w:tab w:val="left" w:pos="3360"/>
        </w:tabs>
        <w:spacing w:line="240" w:lineRule="auto"/>
        <w:rPr>
          <w:rFonts w:ascii="Verdana" w:hAnsi="Verdana"/>
          <w:sz w:val="24"/>
          <w:szCs w:val="24"/>
        </w:rPr>
      </w:pPr>
    </w:p>
    <w:p w14:paraId="00516FC2" w14:textId="07BD6A13" w:rsidR="00E43C98" w:rsidRDefault="00E43C98" w:rsidP="00292EED">
      <w:pPr>
        <w:tabs>
          <w:tab w:val="left" w:pos="3360"/>
        </w:tabs>
        <w:spacing w:line="240" w:lineRule="auto"/>
        <w:rPr>
          <w:rFonts w:ascii="Verdana" w:hAnsi="Verdana"/>
          <w:sz w:val="24"/>
          <w:szCs w:val="24"/>
        </w:rPr>
      </w:pPr>
    </w:p>
    <w:p w14:paraId="089B016B" w14:textId="77777777" w:rsidR="00C625DB" w:rsidRDefault="00C625DB" w:rsidP="00292EED">
      <w:pPr>
        <w:tabs>
          <w:tab w:val="left" w:pos="3360"/>
        </w:tabs>
        <w:spacing w:line="240" w:lineRule="auto"/>
        <w:rPr>
          <w:rFonts w:ascii="Verdana" w:hAnsi="Verdana"/>
          <w:sz w:val="24"/>
          <w:szCs w:val="24"/>
        </w:rPr>
      </w:pPr>
    </w:p>
    <w:p w14:paraId="634AD1ED" w14:textId="77777777" w:rsidR="00167186" w:rsidRDefault="00167186" w:rsidP="00B3272B">
      <w:pPr>
        <w:tabs>
          <w:tab w:val="left" w:pos="3360"/>
        </w:tabs>
        <w:rPr>
          <w:rFonts w:ascii="Verdana" w:hAnsi="Verdana"/>
          <w:sz w:val="24"/>
          <w:szCs w:val="24"/>
        </w:rPr>
      </w:pPr>
    </w:p>
    <w:p w14:paraId="1E9F412B" w14:textId="6BB83F02" w:rsidR="006601FA" w:rsidRDefault="00292EED" w:rsidP="006601FA">
      <w:pPr>
        <w:tabs>
          <w:tab w:val="left" w:pos="3360"/>
        </w:tabs>
        <w:rPr>
          <w:rFonts w:ascii="Verdana" w:hAnsi="Verdana"/>
          <w:b/>
          <w:sz w:val="24"/>
          <w:szCs w:val="24"/>
          <w:u w:val="single"/>
        </w:rPr>
      </w:pPr>
      <w:r>
        <w:rPr>
          <w:rFonts w:ascii="Verdana" w:hAnsi="Verdana"/>
          <w:b/>
          <w:sz w:val="24"/>
          <w:szCs w:val="24"/>
          <w:u w:val="single"/>
        </w:rPr>
        <w:t>1. P</w:t>
      </w:r>
      <w:r w:rsidR="00167186" w:rsidRPr="00167186">
        <w:rPr>
          <w:rFonts w:ascii="Verdana" w:hAnsi="Verdana"/>
          <w:b/>
          <w:sz w:val="24"/>
          <w:szCs w:val="24"/>
          <w:u w:val="single"/>
        </w:rPr>
        <w:t>ublishing Requirements</w:t>
      </w:r>
    </w:p>
    <w:p w14:paraId="5C14D543" w14:textId="4A000CC5" w:rsidR="00EA4B20" w:rsidRPr="00EA4B20" w:rsidRDefault="00167186" w:rsidP="006601FA">
      <w:pPr>
        <w:tabs>
          <w:tab w:val="left" w:pos="3360"/>
        </w:tabs>
        <w:rPr>
          <w:rFonts w:ascii="Verdana" w:hAnsi="Verdana"/>
          <w:b/>
          <w:sz w:val="24"/>
          <w:szCs w:val="24"/>
          <w:u w:val="single"/>
        </w:rPr>
      </w:pPr>
      <w:r w:rsidRPr="00D93D5B">
        <w:rPr>
          <w:rFonts w:ascii="Verdana" w:hAnsi="Verdana"/>
          <w:lang w:eastAsia="en-GB"/>
        </w:rPr>
        <w:t xml:space="preserve">The OPCC is </w:t>
      </w:r>
      <w:r>
        <w:rPr>
          <w:rFonts w:ascii="Verdana" w:hAnsi="Verdana"/>
          <w:lang w:eastAsia="en-GB"/>
        </w:rPr>
        <w:t xml:space="preserve">required to publish a raft of information at various intervals </w:t>
      </w:r>
      <w:r w:rsidR="00981C11">
        <w:rPr>
          <w:rFonts w:ascii="Verdana" w:hAnsi="Verdana"/>
          <w:lang w:eastAsia="en-GB"/>
        </w:rPr>
        <w:t xml:space="preserve">throughout the year </w:t>
      </w:r>
      <w:proofErr w:type="gramStart"/>
      <w:r>
        <w:rPr>
          <w:rFonts w:ascii="Verdana" w:hAnsi="Verdana"/>
          <w:lang w:eastAsia="en-GB"/>
        </w:rPr>
        <w:t>in order to</w:t>
      </w:r>
      <w:proofErr w:type="gramEnd"/>
      <w:r>
        <w:rPr>
          <w:rFonts w:ascii="Verdana" w:hAnsi="Verdana"/>
          <w:lang w:eastAsia="en-GB"/>
        </w:rPr>
        <w:t xml:space="preserve"> be transparent, provide information to residents and comply with legislation.</w:t>
      </w:r>
      <w:r w:rsidR="00133901">
        <w:rPr>
          <w:rFonts w:ascii="Verdana" w:hAnsi="Verdana"/>
          <w:lang w:eastAsia="en-GB"/>
        </w:rPr>
        <w:t xml:space="preserve"> All OPCC’s </w:t>
      </w:r>
      <w:r w:rsidR="005C46DD">
        <w:rPr>
          <w:rFonts w:ascii="Verdana" w:hAnsi="Verdana"/>
          <w:lang w:eastAsia="en-GB"/>
        </w:rPr>
        <w:t xml:space="preserve">must adhere to the requirements as set out in the Elected Local Policing </w:t>
      </w:r>
      <w:r w:rsidR="000B3302">
        <w:rPr>
          <w:rFonts w:ascii="Verdana" w:hAnsi="Verdana"/>
          <w:lang w:eastAsia="en-GB"/>
        </w:rPr>
        <w:t>Bodies (Specified Information) O</w:t>
      </w:r>
      <w:r w:rsidR="005C46DD">
        <w:rPr>
          <w:rFonts w:ascii="Verdana" w:hAnsi="Verdana"/>
          <w:lang w:eastAsia="en-GB"/>
        </w:rPr>
        <w:t xml:space="preserve">rder 2011. </w:t>
      </w:r>
      <w:r w:rsidR="006601FA">
        <w:rPr>
          <w:rFonts w:ascii="Verdana" w:hAnsi="Verdana"/>
          <w:lang w:eastAsia="en-GB"/>
        </w:rPr>
        <w:t>The O</w:t>
      </w:r>
      <w:r w:rsidR="00EA4B20">
        <w:rPr>
          <w:rFonts w:ascii="Verdana" w:hAnsi="Verdana"/>
          <w:lang w:eastAsia="en-GB"/>
        </w:rPr>
        <w:t>rder</w:t>
      </w:r>
      <w:r w:rsidR="00EA4B20" w:rsidRPr="00EA4B20">
        <w:rPr>
          <w:rFonts w:ascii="inherit" w:eastAsia="Times New Roman" w:hAnsi="inherit" w:cs="Times New Roman"/>
          <w:color w:val="222222"/>
          <w:sz w:val="24"/>
          <w:szCs w:val="24"/>
          <w:lang w:eastAsia="en-GB"/>
        </w:rPr>
        <w:t xml:space="preserve"> </w:t>
      </w:r>
      <w:r w:rsidR="00EA4B20" w:rsidRPr="00EA4B20">
        <w:rPr>
          <w:rFonts w:ascii="Verdana" w:eastAsia="Times New Roman" w:hAnsi="Verdana" w:cs="Times New Roman"/>
          <w:color w:val="222222"/>
          <w:lang w:eastAsia="en-GB"/>
        </w:rPr>
        <w:t>ensures that PCCs will make available to the public information on:</w:t>
      </w:r>
    </w:p>
    <w:p w14:paraId="26465331" w14:textId="77777777" w:rsidR="00EA4B20" w:rsidRPr="00EA4B20" w:rsidRDefault="00EA4B20" w:rsidP="00EA4B20">
      <w:pPr>
        <w:numPr>
          <w:ilvl w:val="0"/>
          <w:numId w:val="15"/>
        </w:numPr>
        <w:spacing w:after="0" w:line="240" w:lineRule="auto"/>
        <w:rPr>
          <w:rFonts w:ascii="Verdana" w:eastAsia="Times New Roman" w:hAnsi="Verdana" w:cs="Times New Roman"/>
          <w:color w:val="222222"/>
          <w:lang w:eastAsia="en-GB"/>
        </w:rPr>
      </w:pPr>
      <w:r w:rsidRPr="00EA4B20">
        <w:rPr>
          <w:rFonts w:ascii="Verdana" w:eastAsia="Times New Roman" w:hAnsi="Verdana" w:cs="Times New Roman"/>
          <w:color w:val="222222"/>
          <w:lang w:eastAsia="en-GB"/>
        </w:rPr>
        <w:t xml:space="preserve">Who they are and what they </w:t>
      </w:r>
      <w:proofErr w:type="gramStart"/>
      <w:r w:rsidRPr="00EA4B20">
        <w:rPr>
          <w:rFonts w:ascii="Verdana" w:eastAsia="Times New Roman" w:hAnsi="Verdana" w:cs="Times New Roman"/>
          <w:color w:val="222222"/>
          <w:lang w:eastAsia="en-GB"/>
        </w:rPr>
        <w:t>do</w:t>
      </w:r>
      <w:proofErr w:type="gramEnd"/>
    </w:p>
    <w:p w14:paraId="72F24F32" w14:textId="77777777" w:rsidR="00EA4B20" w:rsidRPr="00EA4B20" w:rsidRDefault="00EA4B20" w:rsidP="00EA4B20">
      <w:pPr>
        <w:numPr>
          <w:ilvl w:val="0"/>
          <w:numId w:val="15"/>
        </w:numPr>
        <w:spacing w:after="0" w:line="240" w:lineRule="auto"/>
        <w:rPr>
          <w:rFonts w:ascii="Verdana" w:eastAsia="Times New Roman" w:hAnsi="Verdana" w:cs="Times New Roman"/>
          <w:color w:val="222222"/>
          <w:lang w:eastAsia="en-GB"/>
        </w:rPr>
      </w:pPr>
      <w:r w:rsidRPr="00EA4B20">
        <w:rPr>
          <w:rFonts w:ascii="Verdana" w:eastAsia="Times New Roman" w:hAnsi="Verdana" w:cs="Times New Roman"/>
          <w:color w:val="222222"/>
          <w:lang w:eastAsia="en-GB"/>
        </w:rPr>
        <w:t>What they spend and how they spend it</w:t>
      </w:r>
    </w:p>
    <w:p w14:paraId="54D52D8B" w14:textId="77777777" w:rsidR="00EA4B20" w:rsidRPr="00EA4B20" w:rsidRDefault="00EA4B20" w:rsidP="00EA4B20">
      <w:pPr>
        <w:numPr>
          <w:ilvl w:val="0"/>
          <w:numId w:val="15"/>
        </w:numPr>
        <w:spacing w:after="0" w:line="240" w:lineRule="auto"/>
        <w:rPr>
          <w:rFonts w:ascii="Verdana" w:eastAsia="Times New Roman" w:hAnsi="Verdana" w:cs="Times New Roman"/>
          <w:color w:val="222222"/>
          <w:lang w:eastAsia="en-GB"/>
        </w:rPr>
      </w:pPr>
      <w:r w:rsidRPr="00EA4B20">
        <w:rPr>
          <w:rFonts w:ascii="Verdana" w:eastAsia="Times New Roman" w:hAnsi="Verdana" w:cs="Times New Roman"/>
          <w:color w:val="222222"/>
          <w:lang w:eastAsia="en-GB"/>
        </w:rPr>
        <w:t>What their priorities are and how they are doing</w:t>
      </w:r>
    </w:p>
    <w:p w14:paraId="11411B6B" w14:textId="77777777" w:rsidR="00EA4B20" w:rsidRPr="00EA4B20" w:rsidRDefault="00EA4B20" w:rsidP="00EA4B20">
      <w:pPr>
        <w:numPr>
          <w:ilvl w:val="0"/>
          <w:numId w:val="15"/>
        </w:numPr>
        <w:spacing w:after="0" w:line="240" w:lineRule="auto"/>
        <w:rPr>
          <w:rFonts w:ascii="Verdana" w:eastAsia="Times New Roman" w:hAnsi="Verdana" w:cs="Times New Roman"/>
          <w:color w:val="222222"/>
          <w:lang w:eastAsia="en-GB"/>
        </w:rPr>
      </w:pPr>
      <w:r w:rsidRPr="00EA4B20">
        <w:rPr>
          <w:rFonts w:ascii="Verdana" w:eastAsia="Times New Roman" w:hAnsi="Verdana" w:cs="Times New Roman"/>
          <w:color w:val="222222"/>
          <w:lang w:eastAsia="en-GB"/>
        </w:rPr>
        <w:t>How they make decisions</w:t>
      </w:r>
    </w:p>
    <w:p w14:paraId="09C59D42" w14:textId="77777777" w:rsidR="00EA4B20" w:rsidRPr="00EA4B20" w:rsidRDefault="00EA4B20" w:rsidP="00EA4B20">
      <w:pPr>
        <w:numPr>
          <w:ilvl w:val="0"/>
          <w:numId w:val="15"/>
        </w:numPr>
        <w:spacing w:after="0" w:line="240" w:lineRule="auto"/>
        <w:rPr>
          <w:rFonts w:ascii="Verdana" w:eastAsia="Times New Roman" w:hAnsi="Verdana" w:cs="Times New Roman"/>
          <w:color w:val="222222"/>
          <w:lang w:eastAsia="en-GB"/>
        </w:rPr>
      </w:pPr>
      <w:r w:rsidRPr="00EA4B20">
        <w:rPr>
          <w:rFonts w:ascii="Verdana" w:eastAsia="Times New Roman" w:hAnsi="Verdana" w:cs="Times New Roman"/>
          <w:color w:val="222222"/>
          <w:lang w:eastAsia="en-GB"/>
        </w:rPr>
        <w:t>What policies and procedures govern the operation of the office of the PCC</w:t>
      </w:r>
    </w:p>
    <w:p w14:paraId="7D2EA817" w14:textId="590A4D67" w:rsidR="00EA4B20" w:rsidRPr="00EA4B20" w:rsidRDefault="00296410" w:rsidP="00EA4B20">
      <w:pPr>
        <w:numPr>
          <w:ilvl w:val="0"/>
          <w:numId w:val="15"/>
        </w:numPr>
        <w:spacing w:after="0" w:line="240" w:lineRule="auto"/>
        <w:rPr>
          <w:rFonts w:ascii="Verdana" w:eastAsia="Times New Roman" w:hAnsi="Verdana" w:cs="Times New Roman"/>
          <w:color w:val="222222"/>
          <w:lang w:eastAsia="en-GB"/>
        </w:rPr>
      </w:pPr>
      <w:r>
        <w:rPr>
          <w:rFonts w:ascii="Verdana" w:eastAsia="Times New Roman" w:hAnsi="Verdana" w:cs="Times New Roman"/>
          <w:color w:val="222222"/>
          <w:lang w:eastAsia="en-GB"/>
        </w:rPr>
        <w:t xml:space="preserve">Lists &amp; </w:t>
      </w:r>
      <w:proofErr w:type="gramStart"/>
      <w:r>
        <w:rPr>
          <w:rFonts w:ascii="Verdana" w:eastAsia="Times New Roman" w:hAnsi="Verdana" w:cs="Times New Roman"/>
          <w:color w:val="222222"/>
          <w:lang w:eastAsia="en-GB"/>
        </w:rPr>
        <w:t>registers</w:t>
      </w:r>
      <w:proofErr w:type="gramEnd"/>
    </w:p>
    <w:p w14:paraId="33E0FDFB" w14:textId="77777777" w:rsidR="00EA4B20" w:rsidRPr="006601FA" w:rsidRDefault="00EA4B20" w:rsidP="00167186">
      <w:pPr>
        <w:rPr>
          <w:rFonts w:ascii="Verdana" w:hAnsi="Verdana"/>
          <w:lang w:eastAsia="en-GB"/>
        </w:rPr>
      </w:pPr>
    </w:p>
    <w:p w14:paraId="0C13C84C" w14:textId="71E8BAEE" w:rsidR="001D1E28" w:rsidRDefault="001D1E28" w:rsidP="00544E07">
      <w:pPr>
        <w:rPr>
          <w:rFonts w:ascii="Verdana" w:hAnsi="Verdana"/>
          <w:lang w:eastAsia="en-GB"/>
        </w:rPr>
      </w:pPr>
      <w:r>
        <w:rPr>
          <w:rFonts w:ascii="Verdana" w:hAnsi="Verdana"/>
          <w:lang w:eastAsia="en-GB"/>
        </w:rPr>
        <w:t xml:space="preserve">In previous years the </w:t>
      </w:r>
      <w:proofErr w:type="spellStart"/>
      <w:r>
        <w:rPr>
          <w:rFonts w:ascii="Verdana" w:hAnsi="Verdana"/>
          <w:lang w:eastAsia="en-GB"/>
        </w:rPr>
        <w:t>CoPaCC</w:t>
      </w:r>
      <w:proofErr w:type="spellEnd"/>
      <w:r>
        <w:rPr>
          <w:rFonts w:ascii="Verdana" w:hAnsi="Verdana"/>
          <w:lang w:eastAsia="en-GB"/>
        </w:rPr>
        <w:t xml:space="preserve"> (Comparing P</w:t>
      </w:r>
      <w:r w:rsidR="00236029">
        <w:rPr>
          <w:rFonts w:ascii="Verdana" w:hAnsi="Verdana"/>
          <w:lang w:eastAsia="en-GB"/>
        </w:rPr>
        <w:t xml:space="preserve">olice and Crime Commissioners – Police Governance Experts) undertook assessments of how the </w:t>
      </w:r>
      <w:r w:rsidR="00705EA2">
        <w:rPr>
          <w:rFonts w:ascii="Verdana" w:hAnsi="Verdana"/>
          <w:lang w:eastAsia="en-GB"/>
        </w:rPr>
        <w:t>O</w:t>
      </w:r>
      <w:r w:rsidR="00236029">
        <w:rPr>
          <w:rFonts w:ascii="Verdana" w:hAnsi="Verdana"/>
          <w:lang w:eastAsia="en-GB"/>
        </w:rPr>
        <w:t xml:space="preserve">ffices of </w:t>
      </w:r>
      <w:r w:rsidR="00705EA2">
        <w:rPr>
          <w:rFonts w:ascii="Verdana" w:hAnsi="Verdana"/>
          <w:lang w:eastAsia="en-GB"/>
        </w:rPr>
        <w:t>P</w:t>
      </w:r>
      <w:r w:rsidR="00236029">
        <w:rPr>
          <w:rFonts w:ascii="Verdana" w:hAnsi="Verdana"/>
          <w:lang w:eastAsia="en-GB"/>
        </w:rPr>
        <w:t xml:space="preserve">olice and </w:t>
      </w:r>
      <w:r w:rsidR="00705EA2">
        <w:rPr>
          <w:rFonts w:ascii="Verdana" w:hAnsi="Verdana"/>
          <w:lang w:eastAsia="en-GB"/>
        </w:rPr>
        <w:t>C</w:t>
      </w:r>
      <w:r w:rsidR="00236029">
        <w:rPr>
          <w:rFonts w:ascii="Verdana" w:hAnsi="Verdana"/>
          <w:lang w:eastAsia="en-GB"/>
        </w:rPr>
        <w:t xml:space="preserve">rime </w:t>
      </w:r>
      <w:r w:rsidR="00705EA2">
        <w:rPr>
          <w:rFonts w:ascii="Verdana" w:hAnsi="Verdana"/>
          <w:lang w:eastAsia="en-GB"/>
        </w:rPr>
        <w:t>C</w:t>
      </w:r>
      <w:r w:rsidR="00236029">
        <w:rPr>
          <w:rFonts w:ascii="Verdana" w:hAnsi="Verdana"/>
          <w:lang w:eastAsia="en-GB"/>
        </w:rPr>
        <w:t>ommissioner</w:t>
      </w:r>
      <w:r w:rsidR="00705EA2">
        <w:rPr>
          <w:rFonts w:ascii="Verdana" w:hAnsi="Verdana"/>
          <w:lang w:eastAsia="en-GB"/>
        </w:rPr>
        <w:t>s</w:t>
      </w:r>
      <w:r w:rsidR="00236029">
        <w:rPr>
          <w:rFonts w:ascii="Verdana" w:hAnsi="Verdana"/>
          <w:lang w:eastAsia="en-GB"/>
        </w:rPr>
        <w:t xml:space="preserve"> (OPCCs</w:t>
      </w:r>
      <w:r w:rsidR="00705EA2">
        <w:rPr>
          <w:rFonts w:ascii="Verdana" w:hAnsi="Verdana"/>
          <w:lang w:eastAsia="en-GB"/>
        </w:rPr>
        <w:t>)</w:t>
      </w:r>
      <w:r w:rsidR="00236029">
        <w:rPr>
          <w:rFonts w:ascii="Verdana" w:hAnsi="Verdana"/>
          <w:lang w:eastAsia="en-GB"/>
        </w:rPr>
        <w:t xml:space="preserve"> fulfilled their statutory obligations for transparency. Since 2021 the decision has been taken not to carry out the Transparency Quality Mark audits</w:t>
      </w:r>
      <w:r w:rsidR="00D04F5F">
        <w:rPr>
          <w:rFonts w:ascii="Verdana" w:hAnsi="Verdana"/>
          <w:lang w:eastAsia="en-GB"/>
        </w:rPr>
        <w:t>, however the office has ensured that all statutory publishing requirements are met as business as usual.</w:t>
      </w:r>
    </w:p>
    <w:p w14:paraId="28B3CF11" w14:textId="08581E3F" w:rsidR="00544E07" w:rsidRPr="00544E07" w:rsidRDefault="00544E07" w:rsidP="00544E07">
      <w:pPr>
        <w:rPr>
          <w:rFonts w:ascii="Verdana" w:hAnsi="Verdana" w:cs="Arial"/>
          <w:color w:val="222222"/>
          <w:shd w:val="clear" w:color="auto" w:fill="FFFFFF"/>
        </w:rPr>
      </w:pPr>
      <w:proofErr w:type="gramStart"/>
      <w:r w:rsidRPr="00544E07">
        <w:rPr>
          <w:rFonts w:ascii="Verdana" w:hAnsi="Verdana" w:cs="Arial"/>
          <w:color w:val="222222"/>
          <w:shd w:val="clear" w:color="auto" w:fill="FFFFFF"/>
        </w:rPr>
        <w:t xml:space="preserve">The </w:t>
      </w:r>
      <w:r w:rsidR="00D04F5F">
        <w:rPr>
          <w:rFonts w:ascii="Verdana" w:hAnsi="Verdana" w:cs="Arial"/>
          <w:color w:val="222222"/>
          <w:shd w:val="clear" w:color="auto" w:fill="FFFFFF"/>
        </w:rPr>
        <w:t xml:space="preserve"> previous</w:t>
      </w:r>
      <w:proofErr w:type="gramEnd"/>
      <w:r w:rsidR="00D04F5F">
        <w:rPr>
          <w:rFonts w:ascii="Verdana" w:hAnsi="Verdana" w:cs="Arial"/>
          <w:color w:val="222222"/>
          <w:shd w:val="clear" w:color="auto" w:fill="FFFFFF"/>
        </w:rPr>
        <w:t xml:space="preserve"> </w:t>
      </w:r>
      <w:r w:rsidRPr="00544E07">
        <w:rPr>
          <w:rFonts w:ascii="Verdana" w:hAnsi="Verdana" w:cs="Arial"/>
          <w:color w:val="222222"/>
          <w:shd w:val="clear" w:color="auto" w:fill="FFFFFF"/>
        </w:rPr>
        <w:t>assessment use</w:t>
      </w:r>
      <w:r w:rsidR="00D04F5F">
        <w:rPr>
          <w:rFonts w:ascii="Verdana" w:hAnsi="Verdana" w:cs="Arial"/>
          <w:color w:val="222222"/>
          <w:shd w:val="clear" w:color="auto" w:fill="FFFFFF"/>
        </w:rPr>
        <w:t>d</w:t>
      </w:r>
      <w:r w:rsidRPr="00544E07">
        <w:rPr>
          <w:rFonts w:ascii="Verdana" w:hAnsi="Verdana" w:cs="Arial"/>
          <w:color w:val="222222"/>
          <w:shd w:val="clear" w:color="auto" w:fill="FFFFFF"/>
        </w:rPr>
        <w:t xml:space="preserve"> the Home Office’s 2013 publication </w:t>
      </w:r>
      <w:r w:rsidRPr="00544E07">
        <w:rPr>
          <w:rFonts w:ascii="Verdana" w:hAnsi="Verdana" w:cs="Arial"/>
          <w:shd w:val="clear" w:color="auto" w:fill="FFFFFF"/>
        </w:rPr>
        <w:t>Guidelines for PCCs on publishing information</w:t>
      </w:r>
      <w:r w:rsidRPr="00544E07">
        <w:rPr>
          <w:rFonts w:ascii="Verdana" w:hAnsi="Verdana" w:cs="Arial"/>
          <w:color w:val="222222"/>
          <w:shd w:val="clear" w:color="auto" w:fill="FFFFFF"/>
        </w:rPr>
        <w:t xml:space="preserve">, based on the 2011 Elected Local Policing Bodies (Specified Information) Order, as the basis for scoring each disclosure requirement – </w:t>
      </w:r>
      <w:r w:rsidR="00833912" w:rsidRPr="00544E07">
        <w:rPr>
          <w:rFonts w:ascii="Verdana" w:hAnsi="Verdana" w:cs="Arial"/>
          <w:color w:val="222222"/>
          <w:shd w:val="clear" w:color="auto" w:fill="FFFFFF"/>
        </w:rPr>
        <w:t>i.e.</w:t>
      </w:r>
      <w:r w:rsidRPr="00544E07">
        <w:rPr>
          <w:rFonts w:ascii="Verdana" w:hAnsi="Verdana" w:cs="Arial"/>
          <w:color w:val="222222"/>
          <w:shd w:val="clear" w:color="auto" w:fill="FFFFFF"/>
        </w:rPr>
        <w:t xml:space="preserve"> that the information both exists and is timely. The Home Office state:</w:t>
      </w:r>
    </w:p>
    <w:p w14:paraId="7A889846" w14:textId="06D8471A" w:rsidR="00544E07" w:rsidRPr="00544E07" w:rsidRDefault="00544E07" w:rsidP="00544E07">
      <w:pPr>
        <w:rPr>
          <w:rFonts w:ascii="Verdana" w:hAnsi="Verdana" w:cs="Arial"/>
          <w:color w:val="222222"/>
          <w:shd w:val="clear" w:color="auto" w:fill="FFFFFF"/>
        </w:rPr>
      </w:pPr>
      <w:r w:rsidRPr="00544E07">
        <w:rPr>
          <w:rFonts w:ascii="Verdana" w:hAnsi="Verdana" w:cs="Arial"/>
          <w:color w:val="222222"/>
          <w:shd w:val="clear" w:color="auto" w:fill="FFFFFF"/>
        </w:rPr>
        <w:t>“The public need independent, consistent and clear information on the performance and activities of their PCC. Transparency is essential to promote confidence in the elected PCC. A consistent minimum amount of evidence will</w:t>
      </w:r>
      <w:r>
        <w:rPr>
          <w:rFonts w:ascii="Verdana" w:hAnsi="Verdana" w:cs="Arial"/>
          <w:color w:val="222222"/>
          <w:shd w:val="clear" w:color="auto" w:fill="FFFFFF"/>
        </w:rPr>
        <w:t xml:space="preserve"> also allow the public to compare the performance of their PCC with PCCs elsewhere.”</w:t>
      </w:r>
    </w:p>
    <w:p w14:paraId="7F60019A" w14:textId="1AA8727E" w:rsidR="0078136E" w:rsidRDefault="0078136E" w:rsidP="006601FA">
      <w:pPr>
        <w:rPr>
          <w:rFonts w:ascii="Verdana" w:hAnsi="Verdana"/>
          <w:lang w:eastAsia="en-GB"/>
        </w:rPr>
      </w:pPr>
      <w:r>
        <w:rPr>
          <w:rFonts w:ascii="Verdana" w:hAnsi="Verdana"/>
          <w:lang w:eastAsia="en-GB"/>
        </w:rPr>
        <w:t xml:space="preserve">To ensure that the OPCC maintains its position </w:t>
      </w:r>
      <w:proofErr w:type="gramStart"/>
      <w:r>
        <w:rPr>
          <w:rFonts w:ascii="Verdana" w:hAnsi="Verdana"/>
          <w:lang w:eastAsia="en-GB"/>
        </w:rPr>
        <w:t>in regards to</w:t>
      </w:r>
      <w:proofErr w:type="gramEnd"/>
      <w:r>
        <w:rPr>
          <w:rFonts w:ascii="Verdana" w:hAnsi="Verdana"/>
          <w:lang w:eastAsia="en-GB"/>
        </w:rPr>
        <w:t xml:space="preserve"> publication regular checks on the website are conducted by the </w:t>
      </w:r>
      <w:r w:rsidR="00D53125">
        <w:rPr>
          <w:rFonts w:ascii="Verdana" w:hAnsi="Verdana"/>
          <w:lang w:eastAsia="en-GB"/>
        </w:rPr>
        <w:t>Head of Assurance and the Business Manager</w:t>
      </w:r>
      <w:r>
        <w:rPr>
          <w:rFonts w:ascii="Verdana" w:hAnsi="Verdana"/>
          <w:lang w:eastAsia="en-GB"/>
        </w:rPr>
        <w:t xml:space="preserve"> to ensure that everything is up to date and always reflects the office’s current work.</w:t>
      </w:r>
    </w:p>
    <w:p w14:paraId="7845CA08" w14:textId="0F8BEE2F" w:rsidR="00AF1C85" w:rsidRDefault="00AF1C85" w:rsidP="006601FA">
      <w:pPr>
        <w:rPr>
          <w:rFonts w:ascii="Verdana" w:hAnsi="Verdana"/>
        </w:rPr>
      </w:pPr>
    </w:p>
    <w:p w14:paraId="61C3267E" w14:textId="04F89FE7" w:rsidR="00B2284A" w:rsidRDefault="00AF1C85" w:rsidP="006601FA">
      <w:pPr>
        <w:rPr>
          <w:rFonts w:ascii="Verdana" w:hAnsi="Verdana"/>
          <w:lang w:eastAsia="en-GB"/>
        </w:rPr>
      </w:pPr>
      <w:r>
        <w:rPr>
          <w:rFonts w:ascii="Verdana" w:hAnsi="Verdana"/>
        </w:rPr>
        <w:t xml:space="preserve">Following an earlier refresh of the website to include the new </w:t>
      </w:r>
      <w:r w:rsidR="000D7359">
        <w:rPr>
          <w:rFonts w:ascii="Verdana" w:hAnsi="Verdana"/>
        </w:rPr>
        <w:t>brand and logo</w:t>
      </w:r>
      <w:r w:rsidR="00A2668A">
        <w:rPr>
          <w:rFonts w:ascii="Verdana" w:hAnsi="Verdana"/>
        </w:rPr>
        <w:t>,</w:t>
      </w:r>
      <w:r w:rsidR="000D7359">
        <w:rPr>
          <w:rFonts w:ascii="Verdana" w:hAnsi="Verdana"/>
        </w:rPr>
        <w:t xml:space="preserve"> work is currently ongoing to introduce a new more improved website that is easier accessible for the public</w:t>
      </w:r>
      <w:r w:rsidR="00BF535C">
        <w:rPr>
          <w:rFonts w:ascii="Verdana" w:hAnsi="Verdana"/>
        </w:rPr>
        <w:t>.</w:t>
      </w:r>
    </w:p>
    <w:p w14:paraId="28E06A71" w14:textId="77777777" w:rsidR="00242B33" w:rsidRDefault="00242B33" w:rsidP="00B56853">
      <w:pPr>
        <w:rPr>
          <w:rFonts w:ascii="Verdana" w:hAnsi="Verdana"/>
          <w:b/>
          <w:u w:val="single"/>
          <w:lang w:eastAsia="en-GB"/>
        </w:rPr>
      </w:pPr>
    </w:p>
    <w:p w14:paraId="5983DB8D" w14:textId="051C471A" w:rsidR="00B56853" w:rsidRDefault="00292EED" w:rsidP="00B56853">
      <w:pPr>
        <w:rPr>
          <w:rFonts w:ascii="Verdana" w:hAnsi="Verdana"/>
          <w:b/>
          <w:u w:val="single"/>
          <w:lang w:eastAsia="en-GB"/>
        </w:rPr>
      </w:pPr>
      <w:r>
        <w:rPr>
          <w:rFonts w:ascii="Verdana" w:hAnsi="Verdana"/>
          <w:b/>
          <w:u w:val="single"/>
          <w:lang w:eastAsia="en-GB"/>
        </w:rPr>
        <w:t xml:space="preserve">2. </w:t>
      </w:r>
      <w:r w:rsidR="00B56853" w:rsidRPr="00B56853">
        <w:rPr>
          <w:rFonts w:ascii="Verdana" w:hAnsi="Verdana"/>
          <w:b/>
          <w:u w:val="single"/>
          <w:lang w:eastAsia="en-GB"/>
        </w:rPr>
        <w:t>Welsh Language</w:t>
      </w:r>
    </w:p>
    <w:p w14:paraId="0EE44B9C" w14:textId="0444D5FA" w:rsidR="0094232E" w:rsidRDefault="00627206" w:rsidP="00F10251">
      <w:pPr>
        <w:rPr>
          <w:rFonts w:ascii="Verdana" w:hAnsi="Verdana"/>
        </w:rPr>
      </w:pPr>
      <w:r w:rsidRPr="00627206">
        <w:rPr>
          <w:rFonts w:ascii="Verdana" w:hAnsi="Verdana"/>
          <w:lang w:eastAsia="en-GB"/>
        </w:rPr>
        <w:t>The Welsh Language Standards (No 5) Regulations 2016 came into force on 22</w:t>
      </w:r>
      <w:r w:rsidRPr="00627206">
        <w:rPr>
          <w:rFonts w:ascii="Verdana" w:hAnsi="Verdana"/>
          <w:vertAlign w:val="superscript"/>
          <w:lang w:eastAsia="en-GB"/>
        </w:rPr>
        <w:t>nd</w:t>
      </w:r>
      <w:r w:rsidRPr="00627206">
        <w:rPr>
          <w:rFonts w:ascii="Verdana" w:hAnsi="Verdana"/>
          <w:lang w:eastAsia="en-GB"/>
        </w:rPr>
        <w:t xml:space="preserve"> March 2016. The main duties resulting from the standards require that the Welsh language should be treated no less favourably than the English language </w:t>
      </w:r>
      <w:r w:rsidRPr="00627206">
        <w:rPr>
          <w:rFonts w:ascii="Verdana" w:hAnsi="Verdana"/>
        </w:rPr>
        <w:t>and</w:t>
      </w:r>
      <w:r>
        <w:rPr>
          <w:rFonts w:ascii="Verdana" w:hAnsi="Verdana"/>
        </w:rPr>
        <w:t xml:space="preserve"> </w:t>
      </w:r>
      <w:r w:rsidRPr="00627206">
        <w:rPr>
          <w:rFonts w:ascii="Verdana" w:hAnsi="Verdana"/>
        </w:rPr>
        <w:t>should make it easier for people to use</w:t>
      </w:r>
      <w:r w:rsidR="00F10251">
        <w:rPr>
          <w:rFonts w:ascii="Verdana" w:hAnsi="Verdana"/>
        </w:rPr>
        <w:t xml:space="preserve"> Welsh in their day-to-day </w:t>
      </w:r>
      <w:proofErr w:type="gramStart"/>
      <w:r w:rsidR="00F10251">
        <w:rPr>
          <w:rFonts w:ascii="Verdana" w:hAnsi="Verdana"/>
        </w:rPr>
        <w:t>life</w:t>
      </w:r>
      <w:proofErr w:type="gramEnd"/>
    </w:p>
    <w:p w14:paraId="5FD1878C" w14:textId="0AE40B4A" w:rsidR="00F10251" w:rsidRPr="00F10251" w:rsidRDefault="00F10251" w:rsidP="00072A4B">
      <w:pPr>
        <w:spacing w:after="0"/>
        <w:rPr>
          <w:rFonts w:ascii="Verdana" w:hAnsi="Verdana"/>
        </w:rPr>
      </w:pPr>
      <w:r>
        <w:rPr>
          <w:rFonts w:ascii="Verdana" w:hAnsi="Verdana"/>
        </w:rPr>
        <w:t xml:space="preserve">As of </w:t>
      </w:r>
      <w:proofErr w:type="gramStart"/>
      <w:r>
        <w:rPr>
          <w:rFonts w:ascii="Verdana" w:hAnsi="Verdana"/>
        </w:rPr>
        <w:t>April 2019</w:t>
      </w:r>
      <w:proofErr w:type="gramEnd"/>
      <w:r>
        <w:rPr>
          <w:rFonts w:ascii="Verdana" w:hAnsi="Verdana"/>
        </w:rPr>
        <w:t xml:space="preserve"> </w:t>
      </w:r>
      <w:r w:rsidRPr="00F10251">
        <w:rPr>
          <w:rFonts w:ascii="Verdana" w:hAnsi="Verdana"/>
        </w:rPr>
        <w:t xml:space="preserve">the </w:t>
      </w:r>
      <w:r w:rsidR="00C452FE">
        <w:rPr>
          <w:rFonts w:ascii="Verdana" w:hAnsi="Verdana"/>
        </w:rPr>
        <w:t>W</w:t>
      </w:r>
      <w:r w:rsidRPr="00F10251">
        <w:rPr>
          <w:rFonts w:ascii="Verdana" w:hAnsi="Verdana"/>
        </w:rPr>
        <w:t>elsh language entry requirement for all staff and officer</w:t>
      </w:r>
      <w:r w:rsidR="0031311B">
        <w:rPr>
          <w:rFonts w:ascii="Verdana" w:hAnsi="Verdana"/>
        </w:rPr>
        <w:t>s is to be able to converse to l</w:t>
      </w:r>
      <w:r w:rsidRPr="00F10251">
        <w:rPr>
          <w:rFonts w:ascii="Verdana" w:hAnsi="Verdana"/>
        </w:rPr>
        <w:t>evel 1 standard.</w:t>
      </w:r>
      <w:r w:rsidR="00DE0770">
        <w:rPr>
          <w:rFonts w:ascii="Verdana" w:hAnsi="Verdana"/>
        </w:rPr>
        <w:t xml:space="preserve"> </w:t>
      </w:r>
      <w:r w:rsidRPr="00F10251">
        <w:rPr>
          <w:rFonts w:ascii="Verdana" w:hAnsi="Verdana"/>
        </w:rPr>
        <w:t xml:space="preserve">Current staff and officers who have no </w:t>
      </w:r>
      <w:r w:rsidR="004A7F3E">
        <w:rPr>
          <w:rFonts w:ascii="Verdana" w:hAnsi="Verdana"/>
        </w:rPr>
        <w:t>W</w:t>
      </w:r>
      <w:r w:rsidRPr="00F10251">
        <w:rPr>
          <w:rFonts w:ascii="Verdana" w:hAnsi="Verdana"/>
        </w:rPr>
        <w:t>elsh language ability will be supported</w:t>
      </w:r>
      <w:r w:rsidR="0031311B">
        <w:rPr>
          <w:rFonts w:ascii="Verdana" w:hAnsi="Verdana"/>
        </w:rPr>
        <w:t xml:space="preserve"> to reach level 1 </w:t>
      </w:r>
      <w:r w:rsidR="00DE0770">
        <w:rPr>
          <w:rFonts w:ascii="Verdana" w:hAnsi="Verdana"/>
        </w:rPr>
        <w:t>Welsh</w:t>
      </w:r>
      <w:r w:rsidR="00654DFB">
        <w:rPr>
          <w:rFonts w:ascii="Verdana" w:hAnsi="Verdana"/>
        </w:rPr>
        <w:t>.</w:t>
      </w:r>
    </w:p>
    <w:tbl>
      <w:tblPr>
        <w:tblStyle w:val="TableGrid"/>
        <w:tblpPr w:leftFromText="180" w:rightFromText="180" w:vertAnchor="text" w:horzAnchor="page" w:tblpX="2131" w:tblpY="463"/>
        <w:tblW w:w="0" w:type="auto"/>
        <w:tblLook w:val="04A0" w:firstRow="1" w:lastRow="0" w:firstColumn="1" w:lastColumn="0" w:noHBand="0" w:noVBand="1"/>
      </w:tblPr>
      <w:tblGrid>
        <w:gridCol w:w="1696"/>
        <w:gridCol w:w="2977"/>
      </w:tblGrid>
      <w:tr w:rsidR="00F10251" w:rsidRPr="00F10251" w14:paraId="64C1833F" w14:textId="77777777" w:rsidTr="00F10251">
        <w:tc>
          <w:tcPr>
            <w:tcW w:w="1696" w:type="dxa"/>
          </w:tcPr>
          <w:p w14:paraId="39B6143E" w14:textId="77777777" w:rsidR="00F10251" w:rsidRPr="00F10251" w:rsidRDefault="00F10251" w:rsidP="00F10251">
            <w:pPr>
              <w:rPr>
                <w:rFonts w:ascii="Verdana" w:hAnsi="Verdana"/>
              </w:rPr>
            </w:pPr>
            <w:r w:rsidRPr="00F10251">
              <w:rPr>
                <w:rFonts w:ascii="Verdana" w:hAnsi="Verdana"/>
              </w:rPr>
              <w:t>Level 0</w:t>
            </w:r>
          </w:p>
        </w:tc>
        <w:tc>
          <w:tcPr>
            <w:tcW w:w="2977" w:type="dxa"/>
          </w:tcPr>
          <w:p w14:paraId="19336BF6" w14:textId="77777777" w:rsidR="00F10251" w:rsidRPr="00F10251" w:rsidRDefault="00F10251" w:rsidP="00F10251">
            <w:pPr>
              <w:rPr>
                <w:rFonts w:ascii="Verdana" w:hAnsi="Verdana"/>
              </w:rPr>
            </w:pPr>
            <w:r w:rsidRPr="00F10251">
              <w:rPr>
                <w:rFonts w:ascii="Verdana" w:hAnsi="Verdana"/>
              </w:rPr>
              <w:t>No Knowledge</w:t>
            </w:r>
          </w:p>
        </w:tc>
      </w:tr>
      <w:tr w:rsidR="00F10251" w:rsidRPr="00F10251" w14:paraId="12924F57" w14:textId="77777777" w:rsidTr="00F10251">
        <w:tc>
          <w:tcPr>
            <w:tcW w:w="1696" w:type="dxa"/>
          </w:tcPr>
          <w:p w14:paraId="6ED501A5" w14:textId="77777777" w:rsidR="00F10251" w:rsidRPr="00F10251" w:rsidRDefault="00F10251" w:rsidP="00F10251">
            <w:pPr>
              <w:rPr>
                <w:rFonts w:ascii="Verdana" w:hAnsi="Verdana"/>
              </w:rPr>
            </w:pPr>
            <w:r w:rsidRPr="00F10251">
              <w:rPr>
                <w:rFonts w:ascii="Verdana" w:hAnsi="Verdana"/>
              </w:rPr>
              <w:t>Level 1</w:t>
            </w:r>
          </w:p>
        </w:tc>
        <w:tc>
          <w:tcPr>
            <w:tcW w:w="2977" w:type="dxa"/>
          </w:tcPr>
          <w:p w14:paraId="7CACF725" w14:textId="77777777" w:rsidR="00F10251" w:rsidRPr="00F10251" w:rsidRDefault="00F10251" w:rsidP="00F10251">
            <w:pPr>
              <w:rPr>
                <w:rFonts w:ascii="Verdana" w:hAnsi="Verdana"/>
              </w:rPr>
            </w:pPr>
            <w:r w:rsidRPr="00F10251">
              <w:rPr>
                <w:rFonts w:ascii="Verdana" w:hAnsi="Verdana"/>
              </w:rPr>
              <w:t>Greeting</w:t>
            </w:r>
          </w:p>
        </w:tc>
      </w:tr>
      <w:tr w:rsidR="00F10251" w:rsidRPr="00F10251" w14:paraId="5D13463C" w14:textId="77777777" w:rsidTr="00F10251">
        <w:tc>
          <w:tcPr>
            <w:tcW w:w="1696" w:type="dxa"/>
          </w:tcPr>
          <w:p w14:paraId="11FA6AB1" w14:textId="77777777" w:rsidR="00F10251" w:rsidRPr="00F10251" w:rsidRDefault="00F10251" w:rsidP="00F10251">
            <w:pPr>
              <w:rPr>
                <w:rFonts w:ascii="Verdana" w:hAnsi="Verdana"/>
              </w:rPr>
            </w:pPr>
            <w:r w:rsidRPr="00F10251">
              <w:rPr>
                <w:rFonts w:ascii="Verdana" w:hAnsi="Verdana"/>
              </w:rPr>
              <w:t>Level 2</w:t>
            </w:r>
          </w:p>
        </w:tc>
        <w:tc>
          <w:tcPr>
            <w:tcW w:w="2977" w:type="dxa"/>
          </w:tcPr>
          <w:p w14:paraId="4EDBB09D" w14:textId="77777777" w:rsidR="00F10251" w:rsidRPr="00F10251" w:rsidRDefault="00F10251" w:rsidP="00F10251">
            <w:pPr>
              <w:rPr>
                <w:rFonts w:ascii="Verdana" w:hAnsi="Verdana"/>
              </w:rPr>
            </w:pPr>
            <w:r w:rsidRPr="00F10251">
              <w:rPr>
                <w:rFonts w:ascii="Verdana" w:hAnsi="Verdana"/>
              </w:rPr>
              <w:t>Basic Information</w:t>
            </w:r>
          </w:p>
        </w:tc>
      </w:tr>
      <w:tr w:rsidR="00F10251" w:rsidRPr="00F10251" w14:paraId="1308532F" w14:textId="77777777" w:rsidTr="00F10251">
        <w:tc>
          <w:tcPr>
            <w:tcW w:w="1696" w:type="dxa"/>
          </w:tcPr>
          <w:p w14:paraId="477A4569" w14:textId="77777777" w:rsidR="00F10251" w:rsidRPr="00F10251" w:rsidRDefault="00F10251" w:rsidP="00F10251">
            <w:pPr>
              <w:rPr>
                <w:rFonts w:ascii="Verdana" w:hAnsi="Verdana"/>
              </w:rPr>
            </w:pPr>
            <w:r w:rsidRPr="00F10251">
              <w:rPr>
                <w:rFonts w:ascii="Verdana" w:hAnsi="Verdana"/>
              </w:rPr>
              <w:t>Level 3</w:t>
            </w:r>
          </w:p>
        </w:tc>
        <w:tc>
          <w:tcPr>
            <w:tcW w:w="2977" w:type="dxa"/>
          </w:tcPr>
          <w:p w14:paraId="38C5B047" w14:textId="77777777" w:rsidR="00F10251" w:rsidRPr="00F10251" w:rsidRDefault="00F10251" w:rsidP="00F10251">
            <w:pPr>
              <w:rPr>
                <w:rFonts w:ascii="Verdana" w:hAnsi="Verdana"/>
              </w:rPr>
            </w:pPr>
            <w:r w:rsidRPr="00F10251">
              <w:rPr>
                <w:rFonts w:ascii="Verdana" w:hAnsi="Verdana"/>
              </w:rPr>
              <w:t>Conversational</w:t>
            </w:r>
          </w:p>
        </w:tc>
      </w:tr>
      <w:tr w:rsidR="00F10251" w:rsidRPr="00F10251" w14:paraId="33495830" w14:textId="77777777" w:rsidTr="00F10251">
        <w:tc>
          <w:tcPr>
            <w:tcW w:w="1696" w:type="dxa"/>
          </w:tcPr>
          <w:p w14:paraId="416BFF2D" w14:textId="77777777" w:rsidR="00F10251" w:rsidRPr="00F10251" w:rsidRDefault="00F10251" w:rsidP="00F10251">
            <w:pPr>
              <w:rPr>
                <w:rFonts w:ascii="Verdana" w:hAnsi="Verdana"/>
              </w:rPr>
            </w:pPr>
            <w:r w:rsidRPr="00F10251">
              <w:rPr>
                <w:rFonts w:ascii="Verdana" w:hAnsi="Verdana"/>
              </w:rPr>
              <w:t>Level 4</w:t>
            </w:r>
          </w:p>
        </w:tc>
        <w:tc>
          <w:tcPr>
            <w:tcW w:w="2977" w:type="dxa"/>
          </w:tcPr>
          <w:p w14:paraId="672937AA" w14:textId="77777777" w:rsidR="00F10251" w:rsidRPr="00F10251" w:rsidRDefault="00F10251" w:rsidP="00F10251">
            <w:pPr>
              <w:rPr>
                <w:rFonts w:ascii="Verdana" w:hAnsi="Verdana"/>
              </w:rPr>
            </w:pPr>
            <w:r w:rsidRPr="00F10251">
              <w:rPr>
                <w:rFonts w:ascii="Verdana" w:hAnsi="Verdana"/>
              </w:rPr>
              <w:t>Formal/Conversational</w:t>
            </w:r>
          </w:p>
        </w:tc>
      </w:tr>
      <w:tr w:rsidR="00F10251" w:rsidRPr="00F10251" w14:paraId="3646668B" w14:textId="77777777" w:rsidTr="00F10251">
        <w:tc>
          <w:tcPr>
            <w:tcW w:w="1696" w:type="dxa"/>
          </w:tcPr>
          <w:p w14:paraId="1FC904B4" w14:textId="77777777" w:rsidR="00F10251" w:rsidRPr="00F10251" w:rsidRDefault="00F10251" w:rsidP="00F10251">
            <w:pPr>
              <w:rPr>
                <w:rFonts w:ascii="Verdana" w:hAnsi="Verdana"/>
              </w:rPr>
            </w:pPr>
            <w:r w:rsidRPr="00F10251">
              <w:rPr>
                <w:rFonts w:ascii="Verdana" w:hAnsi="Verdana"/>
              </w:rPr>
              <w:t>Level 5</w:t>
            </w:r>
          </w:p>
        </w:tc>
        <w:tc>
          <w:tcPr>
            <w:tcW w:w="2977" w:type="dxa"/>
          </w:tcPr>
          <w:p w14:paraId="7DC62A01" w14:textId="77777777" w:rsidR="00F10251" w:rsidRPr="00F10251" w:rsidRDefault="00F10251" w:rsidP="00F10251">
            <w:pPr>
              <w:rPr>
                <w:rFonts w:ascii="Verdana" w:hAnsi="Verdana"/>
              </w:rPr>
            </w:pPr>
            <w:r w:rsidRPr="00F10251">
              <w:rPr>
                <w:rFonts w:ascii="Verdana" w:hAnsi="Verdana"/>
              </w:rPr>
              <w:t>Full and Accurate</w:t>
            </w:r>
          </w:p>
        </w:tc>
      </w:tr>
    </w:tbl>
    <w:p w14:paraId="2E3C9C8B" w14:textId="77777777" w:rsidR="00F10251" w:rsidRPr="00F10251" w:rsidRDefault="00F10251" w:rsidP="00F10251">
      <w:pPr>
        <w:pStyle w:val="ListParagraph"/>
        <w:spacing w:line="240" w:lineRule="auto"/>
        <w:rPr>
          <w:rFonts w:ascii="Verdana" w:hAnsi="Verdana"/>
          <w:u w:val="single"/>
        </w:rPr>
      </w:pPr>
      <w:r w:rsidRPr="00F10251">
        <w:rPr>
          <w:rFonts w:ascii="Verdana" w:hAnsi="Verdana"/>
          <w:u w:val="single"/>
        </w:rPr>
        <w:t>Welsh Language Skills</w:t>
      </w:r>
    </w:p>
    <w:p w14:paraId="77443C2B" w14:textId="77777777" w:rsidR="00F10251" w:rsidRPr="00F10251" w:rsidRDefault="00F10251" w:rsidP="00F10251">
      <w:pPr>
        <w:pStyle w:val="ListParagraph"/>
        <w:rPr>
          <w:rFonts w:ascii="Verdana" w:hAnsi="Verdana"/>
        </w:rPr>
      </w:pPr>
    </w:p>
    <w:p w14:paraId="1DDE8E05" w14:textId="77777777" w:rsidR="00F10251" w:rsidRPr="00F10251" w:rsidRDefault="00F10251" w:rsidP="00F10251">
      <w:pPr>
        <w:pStyle w:val="ListParagraph"/>
        <w:rPr>
          <w:rFonts w:ascii="Verdana" w:hAnsi="Verdana"/>
        </w:rPr>
      </w:pPr>
    </w:p>
    <w:p w14:paraId="0619BFD3" w14:textId="7211045B" w:rsidR="00F10251" w:rsidRDefault="00F10251" w:rsidP="00F10251">
      <w:pPr>
        <w:pStyle w:val="ListParagraph"/>
        <w:spacing w:line="240" w:lineRule="auto"/>
        <w:rPr>
          <w:rFonts w:ascii="Verdana" w:hAnsi="Verdana"/>
        </w:rPr>
      </w:pPr>
    </w:p>
    <w:p w14:paraId="11E114A4" w14:textId="668910D0" w:rsidR="00F10251" w:rsidRDefault="00F10251" w:rsidP="00F10251">
      <w:pPr>
        <w:pStyle w:val="ListParagraph"/>
        <w:spacing w:line="240" w:lineRule="auto"/>
        <w:rPr>
          <w:rFonts w:ascii="Verdana" w:hAnsi="Verdana"/>
        </w:rPr>
      </w:pPr>
    </w:p>
    <w:p w14:paraId="3356E67C" w14:textId="69B4C8EB" w:rsidR="00F10251" w:rsidRDefault="00F10251" w:rsidP="00F10251">
      <w:pPr>
        <w:pStyle w:val="ListParagraph"/>
        <w:spacing w:line="240" w:lineRule="auto"/>
        <w:rPr>
          <w:rFonts w:ascii="Verdana" w:hAnsi="Verdana"/>
        </w:rPr>
      </w:pPr>
    </w:p>
    <w:p w14:paraId="578CC007" w14:textId="17B4DC7C" w:rsidR="00F10251" w:rsidRDefault="00F10251" w:rsidP="00F10251">
      <w:pPr>
        <w:pStyle w:val="ListParagraph"/>
        <w:spacing w:line="240" w:lineRule="auto"/>
        <w:rPr>
          <w:rFonts w:ascii="Verdana" w:hAnsi="Verdana"/>
        </w:rPr>
      </w:pPr>
    </w:p>
    <w:p w14:paraId="107B4C94" w14:textId="1B4BE208" w:rsidR="00F10251" w:rsidRDefault="00F10251" w:rsidP="00F10251">
      <w:pPr>
        <w:pStyle w:val="ListParagraph"/>
        <w:spacing w:line="240" w:lineRule="auto"/>
        <w:rPr>
          <w:rFonts w:ascii="Verdana" w:hAnsi="Verdana"/>
        </w:rPr>
      </w:pPr>
    </w:p>
    <w:p w14:paraId="5933F6E8" w14:textId="02AA856E" w:rsidR="00F10251" w:rsidRDefault="00F10251" w:rsidP="00A95806">
      <w:pPr>
        <w:spacing w:line="240" w:lineRule="auto"/>
        <w:rPr>
          <w:color w:val="4F81BD" w:themeColor="accent1"/>
          <w:sz w:val="28"/>
          <w:szCs w:val="28"/>
        </w:rPr>
      </w:pPr>
      <w:r w:rsidRPr="00072A4B">
        <w:rPr>
          <w:rFonts w:ascii="Verdana" w:hAnsi="Verdana"/>
        </w:rPr>
        <w:lastRenderedPageBreak/>
        <w:t xml:space="preserve">Number of </w:t>
      </w:r>
      <w:r w:rsidR="00850D8E" w:rsidRPr="00072A4B">
        <w:rPr>
          <w:rFonts w:ascii="Verdana" w:hAnsi="Verdana"/>
        </w:rPr>
        <w:t xml:space="preserve">OPCC </w:t>
      </w:r>
      <w:r w:rsidRPr="00072A4B">
        <w:rPr>
          <w:rFonts w:ascii="Verdana" w:hAnsi="Verdana"/>
        </w:rPr>
        <w:t>staff who have Welsh language skills at the end of the financial year:</w:t>
      </w:r>
      <w:r w:rsidR="00AF5E2E">
        <w:rPr>
          <w:noProof/>
        </w:rPr>
        <w:drawing>
          <wp:inline distT="0" distB="0" distL="0" distR="0" wp14:anchorId="2C9173E3" wp14:editId="3891F236">
            <wp:extent cx="3571875" cy="2898475"/>
            <wp:effectExtent l="0" t="0" r="9525" b="16510"/>
            <wp:docPr id="2" name="Chart 2">
              <a:extLst xmlns:a="http://schemas.openxmlformats.org/drawingml/2006/main">
                <a:ext uri="{FF2B5EF4-FFF2-40B4-BE49-F238E27FC236}">
                  <a16:creationId xmlns:a16="http://schemas.microsoft.com/office/drawing/2014/main" id="{B470D8EF-31DC-45D8-A942-2A6682C97B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8FB740" w14:textId="1CD34C77" w:rsidR="008C448A" w:rsidRDefault="008C448A" w:rsidP="00F10251">
      <w:pPr>
        <w:pStyle w:val="ListParagraph"/>
        <w:spacing w:line="240" w:lineRule="auto"/>
        <w:rPr>
          <w:color w:val="4F81BD" w:themeColor="accent1"/>
          <w:sz w:val="28"/>
          <w:szCs w:val="28"/>
        </w:rPr>
      </w:pPr>
    </w:p>
    <w:p w14:paraId="217FC04A" w14:textId="23228667" w:rsidR="00310C95" w:rsidRDefault="00AF5E2E" w:rsidP="00310C95">
      <w:pPr>
        <w:pStyle w:val="ListParagraph"/>
        <w:spacing w:line="240" w:lineRule="auto"/>
        <w:rPr>
          <w:rFonts w:ascii="Verdana" w:hAnsi="Verdana"/>
        </w:rPr>
      </w:pPr>
      <w:r>
        <w:rPr>
          <w:noProof/>
        </w:rPr>
        <w:drawing>
          <wp:inline distT="0" distB="0" distL="0" distR="0" wp14:anchorId="5B60A472" wp14:editId="62957F5A">
            <wp:extent cx="3629025" cy="2833370"/>
            <wp:effectExtent l="0" t="0" r="9525" b="5080"/>
            <wp:docPr id="3" name="Chart 3">
              <a:extLst xmlns:a="http://schemas.openxmlformats.org/drawingml/2006/main">
                <a:ext uri="{FF2B5EF4-FFF2-40B4-BE49-F238E27FC236}">
                  <a16:creationId xmlns:a16="http://schemas.microsoft.com/office/drawing/2014/main" id="{D663531A-93B7-459F-8A03-D4CC917C4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A5EFDB" w14:textId="00142FF0" w:rsidR="000E3311" w:rsidRPr="00310C95" w:rsidRDefault="000E3311" w:rsidP="003E76C4">
      <w:pPr>
        <w:pStyle w:val="ListParagraph"/>
        <w:ind w:left="0"/>
        <w:rPr>
          <w:color w:val="4F81BD" w:themeColor="accent1"/>
          <w:sz w:val="28"/>
          <w:szCs w:val="28"/>
        </w:rPr>
      </w:pPr>
      <w:r w:rsidRPr="000E3311">
        <w:rPr>
          <w:rFonts w:ascii="Verdana" w:hAnsi="Verdana"/>
        </w:rPr>
        <w:t xml:space="preserve">The Welsh Language Commissioner’s Office have </w:t>
      </w:r>
      <w:r w:rsidRPr="000E3311">
        <w:rPr>
          <w:rFonts w:ascii="Verdana" w:hAnsi="Verdana" w:cs="Arial"/>
          <w:lang w:val="en"/>
        </w:rPr>
        <w:t xml:space="preserve">adopted a new compliance monitoring regime where the focus will be much more on identifying where the gaps or weaknesses are and taking action to improve. This </w:t>
      </w:r>
      <w:r w:rsidRPr="000E3311">
        <w:rPr>
          <w:rFonts w:ascii="Verdana" w:hAnsi="Verdana"/>
        </w:rPr>
        <w:t xml:space="preserve">regime will take place over a </w:t>
      </w:r>
      <w:proofErr w:type="gramStart"/>
      <w:r w:rsidRPr="000E3311">
        <w:rPr>
          <w:rFonts w:ascii="Verdana" w:hAnsi="Verdana"/>
        </w:rPr>
        <w:t>four year</w:t>
      </w:r>
      <w:proofErr w:type="gramEnd"/>
      <w:r w:rsidRPr="000E3311">
        <w:rPr>
          <w:rFonts w:ascii="Verdana" w:hAnsi="Verdana"/>
        </w:rPr>
        <w:t xml:space="preserve"> period with organisations being checked twice during that time.</w:t>
      </w:r>
    </w:p>
    <w:p w14:paraId="02DE4A3C" w14:textId="48FABEED" w:rsidR="008E772C" w:rsidRDefault="008E772C" w:rsidP="003E76C4">
      <w:pPr>
        <w:pStyle w:val="Default"/>
        <w:spacing w:after="200" w:line="276" w:lineRule="auto"/>
        <w:rPr>
          <w:rFonts w:ascii="Verdana" w:hAnsi="Verdana"/>
          <w:sz w:val="22"/>
          <w:szCs w:val="22"/>
        </w:rPr>
      </w:pPr>
      <w:r>
        <w:rPr>
          <w:rFonts w:ascii="Verdana" w:hAnsi="Verdana"/>
          <w:sz w:val="22"/>
          <w:szCs w:val="22"/>
        </w:rPr>
        <w:t>Following a monitoring period between January, February and March</w:t>
      </w:r>
      <w:r w:rsidR="00285CB7">
        <w:rPr>
          <w:rFonts w:ascii="Verdana" w:hAnsi="Verdana"/>
          <w:sz w:val="22"/>
          <w:szCs w:val="22"/>
        </w:rPr>
        <w:t xml:space="preserve"> 202</w:t>
      </w:r>
      <w:r w:rsidR="007F5681">
        <w:rPr>
          <w:rFonts w:ascii="Verdana" w:hAnsi="Verdana"/>
          <w:sz w:val="22"/>
          <w:szCs w:val="22"/>
        </w:rPr>
        <w:t>2</w:t>
      </w:r>
      <w:r w:rsidR="00C1282A">
        <w:rPr>
          <w:rFonts w:ascii="Verdana" w:hAnsi="Verdana"/>
          <w:sz w:val="22"/>
          <w:szCs w:val="22"/>
        </w:rPr>
        <w:t xml:space="preserve"> there were 3 main findings that the </w:t>
      </w:r>
      <w:proofErr w:type="gramStart"/>
      <w:r w:rsidR="00C1282A">
        <w:rPr>
          <w:rFonts w:ascii="Verdana" w:hAnsi="Verdana"/>
          <w:sz w:val="22"/>
          <w:szCs w:val="22"/>
        </w:rPr>
        <w:t>office  needed</w:t>
      </w:r>
      <w:proofErr w:type="gramEnd"/>
      <w:r w:rsidR="00C1282A">
        <w:rPr>
          <w:rFonts w:ascii="Verdana" w:hAnsi="Verdana"/>
          <w:sz w:val="22"/>
          <w:szCs w:val="22"/>
        </w:rPr>
        <w:t xml:space="preserve"> to </w:t>
      </w:r>
      <w:r w:rsidR="00285CB7">
        <w:rPr>
          <w:rFonts w:ascii="Verdana" w:hAnsi="Verdana"/>
          <w:sz w:val="22"/>
          <w:szCs w:val="22"/>
        </w:rPr>
        <w:t>address</w:t>
      </w:r>
      <w:r w:rsidR="00C1282A">
        <w:rPr>
          <w:rFonts w:ascii="Verdana" w:hAnsi="Verdana"/>
          <w:sz w:val="22"/>
          <w:szCs w:val="22"/>
        </w:rPr>
        <w:t>:</w:t>
      </w:r>
    </w:p>
    <w:p w14:paraId="54D5EC76" w14:textId="1A4345A6" w:rsidR="00C07DDA" w:rsidRDefault="00921F77" w:rsidP="00CA0B83">
      <w:pPr>
        <w:pStyle w:val="ListParagraph"/>
        <w:numPr>
          <w:ilvl w:val="0"/>
          <w:numId w:val="35"/>
        </w:numPr>
        <w:ind w:left="284" w:hanging="284"/>
        <w:contextualSpacing w:val="0"/>
        <w:rPr>
          <w:rFonts w:ascii="Verdana" w:eastAsia="Times New Roman" w:hAnsi="Verdana" w:cs="Arial"/>
        </w:rPr>
      </w:pPr>
      <w:r w:rsidRPr="00595D6B">
        <w:rPr>
          <w:rFonts w:ascii="Verdana" w:eastAsia="Times New Roman" w:hAnsi="Verdana" w:cs="Arial"/>
        </w:rPr>
        <w:lastRenderedPageBreak/>
        <w:t>The OPCC’s complaints procedure doesn’t reference complaints relating to the standards and to the categories of standards, which isn’t compliant with standards 153 and 159.</w:t>
      </w:r>
      <w:r w:rsidR="003B44AB">
        <w:rPr>
          <w:rFonts w:ascii="Verdana" w:eastAsia="Times New Roman" w:hAnsi="Verdana" w:cs="Arial"/>
        </w:rPr>
        <w:t xml:space="preserve"> </w:t>
      </w:r>
    </w:p>
    <w:p w14:paraId="2F24F437" w14:textId="728F1A2A" w:rsidR="00921F77" w:rsidRDefault="003B44AB" w:rsidP="00CA0B83">
      <w:pPr>
        <w:pStyle w:val="ListParagraph"/>
        <w:ind w:left="0"/>
        <w:contextualSpacing w:val="0"/>
        <w:rPr>
          <w:rFonts w:ascii="Verdana" w:eastAsia="Times New Roman" w:hAnsi="Verdana" w:cs="Arial"/>
        </w:rPr>
      </w:pPr>
      <w:r>
        <w:rPr>
          <w:rFonts w:ascii="Verdana" w:eastAsia="Times New Roman" w:hAnsi="Verdana" w:cs="Arial"/>
        </w:rPr>
        <w:t xml:space="preserve">This </w:t>
      </w:r>
      <w:r w:rsidR="00A2668A">
        <w:rPr>
          <w:rFonts w:ascii="Verdana" w:eastAsia="Times New Roman" w:hAnsi="Verdana" w:cs="Arial"/>
        </w:rPr>
        <w:t xml:space="preserve">has been </w:t>
      </w:r>
      <w:r>
        <w:rPr>
          <w:rFonts w:ascii="Verdana" w:eastAsia="Times New Roman" w:hAnsi="Verdana" w:cs="Arial"/>
        </w:rPr>
        <w:t xml:space="preserve">resolved and the complaints procedure on the website now </w:t>
      </w:r>
      <w:r w:rsidR="00236AA4">
        <w:rPr>
          <w:rFonts w:ascii="Verdana" w:eastAsia="Times New Roman" w:hAnsi="Verdana" w:cs="Arial"/>
        </w:rPr>
        <w:t xml:space="preserve">         </w:t>
      </w:r>
      <w:r>
        <w:rPr>
          <w:rFonts w:ascii="Verdana" w:eastAsia="Times New Roman" w:hAnsi="Verdana" w:cs="Arial"/>
        </w:rPr>
        <w:t>references</w:t>
      </w:r>
      <w:r w:rsidR="00AE7C6C">
        <w:rPr>
          <w:rFonts w:ascii="Verdana" w:eastAsia="Times New Roman" w:hAnsi="Verdana" w:cs="Arial"/>
        </w:rPr>
        <w:t xml:space="preserve"> this.</w:t>
      </w:r>
    </w:p>
    <w:p w14:paraId="6B3D6FD5" w14:textId="70AFFA82" w:rsidR="00C07DDA" w:rsidRDefault="00C07DDA" w:rsidP="006449EB">
      <w:pPr>
        <w:pStyle w:val="ListParagraph"/>
        <w:numPr>
          <w:ilvl w:val="0"/>
          <w:numId w:val="35"/>
        </w:numPr>
        <w:ind w:left="284" w:hanging="284"/>
        <w:contextualSpacing w:val="0"/>
        <w:rPr>
          <w:rFonts w:ascii="Verdana" w:eastAsia="Times New Roman" w:hAnsi="Verdana" w:cs="Arial"/>
        </w:rPr>
      </w:pPr>
      <w:r w:rsidRPr="00595D6B">
        <w:rPr>
          <w:rFonts w:ascii="Verdana" w:eastAsia="Times New Roman" w:hAnsi="Verdana" w:cs="Arial"/>
        </w:rPr>
        <w:t xml:space="preserve">Standards 155, 161 and 167 requires the OPCC to produce an annual report for each financial year, which deals with how you complied with the service delivery standards, policy standards and operational standards. In your supplementary </w:t>
      </w:r>
      <w:proofErr w:type="gramStart"/>
      <w:r w:rsidRPr="00595D6B">
        <w:rPr>
          <w:rFonts w:ascii="Verdana" w:eastAsia="Times New Roman" w:hAnsi="Verdana" w:cs="Arial"/>
        </w:rPr>
        <w:t>standards questionnaire</w:t>
      </w:r>
      <w:proofErr w:type="gramEnd"/>
      <w:r w:rsidRPr="00595D6B">
        <w:rPr>
          <w:rFonts w:ascii="Verdana" w:eastAsia="Times New Roman" w:hAnsi="Verdana" w:cs="Arial"/>
        </w:rPr>
        <w:t xml:space="preserve"> you pointed towards the Dyfed-Powys Police annual report, however the standards require OPCC to produce its own report that’s independent of the Dyfed-Powys Police report.</w:t>
      </w:r>
    </w:p>
    <w:p w14:paraId="79C7DE50" w14:textId="4DB05F87" w:rsidR="00AE0502" w:rsidRDefault="005872A4" w:rsidP="006449EB">
      <w:pPr>
        <w:pStyle w:val="ListParagraph"/>
        <w:ind w:left="0"/>
        <w:rPr>
          <w:rFonts w:ascii="Verdana" w:hAnsi="Verdana"/>
        </w:rPr>
      </w:pPr>
      <w:r w:rsidRPr="00AA2E10">
        <w:rPr>
          <w:rFonts w:ascii="Verdana" w:hAnsi="Verdana"/>
        </w:rPr>
        <w:t xml:space="preserve">In previous years a joint report has been accepted, however going forwards the OPCC will create their own. The </w:t>
      </w:r>
      <w:r w:rsidR="00C816BE">
        <w:rPr>
          <w:rFonts w:ascii="Verdana" w:hAnsi="Verdana"/>
        </w:rPr>
        <w:t xml:space="preserve">Business </w:t>
      </w:r>
      <w:r w:rsidR="000F41EA">
        <w:rPr>
          <w:rFonts w:ascii="Verdana" w:hAnsi="Verdana"/>
        </w:rPr>
        <w:t>Manager</w:t>
      </w:r>
      <w:r w:rsidRPr="00AA2E10">
        <w:rPr>
          <w:rFonts w:ascii="Verdana" w:hAnsi="Verdana"/>
        </w:rPr>
        <w:t xml:space="preserve"> has scheduled this to be completed. This will need to be published by the end of September</w:t>
      </w:r>
      <w:r w:rsidR="00720D7A">
        <w:rPr>
          <w:rFonts w:ascii="Verdana" w:hAnsi="Verdana"/>
        </w:rPr>
        <w:t xml:space="preserve"> </w:t>
      </w:r>
      <w:r w:rsidR="00C816BE">
        <w:rPr>
          <w:rFonts w:ascii="Verdana" w:hAnsi="Verdana"/>
        </w:rPr>
        <w:t>2023</w:t>
      </w:r>
      <w:r w:rsidR="00720D7A">
        <w:rPr>
          <w:rFonts w:ascii="Verdana" w:hAnsi="Verdana"/>
        </w:rPr>
        <w:t>.</w:t>
      </w:r>
    </w:p>
    <w:p w14:paraId="71AA474F" w14:textId="77777777" w:rsidR="00AE0502" w:rsidRDefault="00AE0502" w:rsidP="003E76C4">
      <w:pPr>
        <w:pStyle w:val="ListParagraph"/>
        <w:ind w:left="0"/>
        <w:rPr>
          <w:rFonts w:ascii="Verdana" w:eastAsia="Times New Roman" w:hAnsi="Verdana" w:cs="Arial"/>
        </w:rPr>
      </w:pPr>
    </w:p>
    <w:p w14:paraId="319C0F84" w14:textId="77777777" w:rsidR="0099291E" w:rsidRDefault="00901146" w:rsidP="006449EB">
      <w:pPr>
        <w:pStyle w:val="ListParagraph"/>
        <w:numPr>
          <w:ilvl w:val="0"/>
          <w:numId w:val="35"/>
        </w:numPr>
        <w:ind w:left="284" w:hanging="284"/>
        <w:contextualSpacing w:val="0"/>
        <w:rPr>
          <w:rFonts w:ascii="Verdana" w:eastAsia="Times New Roman" w:hAnsi="Verdana" w:cs="Arial"/>
        </w:rPr>
      </w:pPr>
      <w:r>
        <w:rPr>
          <w:rFonts w:ascii="Verdana" w:eastAsia="Times New Roman" w:hAnsi="Verdana" w:cs="Arial"/>
        </w:rPr>
        <w:t xml:space="preserve">Documents on the website </w:t>
      </w:r>
      <w:r w:rsidRPr="00595D6B">
        <w:rPr>
          <w:rFonts w:ascii="Verdana" w:eastAsia="Times New Roman" w:hAnsi="Verdana" w:cs="Arial"/>
        </w:rPr>
        <w:t>didn’t have a message on the English version to say that there’s a Welsh version also available, as is required under standard 47.</w:t>
      </w:r>
    </w:p>
    <w:p w14:paraId="0B03F2C6" w14:textId="5BE9D9C5" w:rsidR="00D23D26" w:rsidRDefault="00B1235A" w:rsidP="006449EB">
      <w:pPr>
        <w:pStyle w:val="ListParagraph"/>
        <w:ind w:left="0"/>
        <w:contextualSpacing w:val="0"/>
        <w:rPr>
          <w:rFonts w:ascii="Verdana" w:eastAsia="Times New Roman" w:hAnsi="Verdana" w:cs="Arial"/>
        </w:rPr>
      </w:pPr>
      <w:r>
        <w:rPr>
          <w:rFonts w:ascii="Verdana" w:hAnsi="Verdana"/>
        </w:rPr>
        <w:t xml:space="preserve">All </w:t>
      </w:r>
      <w:r w:rsidR="003C2BF6">
        <w:rPr>
          <w:rFonts w:ascii="Verdana" w:hAnsi="Verdana"/>
        </w:rPr>
        <w:t xml:space="preserve">English </w:t>
      </w:r>
      <w:r>
        <w:rPr>
          <w:rFonts w:ascii="Verdana" w:hAnsi="Verdana"/>
        </w:rPr>
        <w:t>documents previously held on the website and any new documents now say that a Welsh version is also available.</w:t>
      </w:r>
    </w:p>
    <w:p w14:paraId="206A3CD8" w14:textId="75EFC921" w:rsidR="00850D8E" w:rsidRPr="00D23D26" w:rsidRDefault="00850D8E" w:rsidP="006449EB">
      <w:pPr>
        <w:pStyle w:val="ListParagraph"/>
        <w:numPr>
          <w:ilvl w:val="0"/>
          <w:numId w:val="36"/>
        </w:numPr>
        <w:ind w:left="284" w:hanging="284"/>
        <w:contextualSpacing w:val="0"/>
        <w:rPr>
          <w:rFonts w:ascii="Verdana" w:eastAsia="Times New Roman" w:hAnsi="Verdana" w:cs="Arial"/>
        </w:rPr>
      </w:pPr>
      <w:r w:rsidRPr="00155318">
        <w:rPr>
          <w:rFonts w:ascii="Verdana" w:hAnsi="Verdana"/>
          <w:lang w:eastAsia="en-GB"/>
        </w:rPr>
        <w:t xml:space="preserve">The OPCC has a very good level of Welsh ability skills amongst its staff. Full details of the levels within the Force (for comparison purposes) can be seen in the attached </w:t>
      </w:r>
      <w:proofErr w:type="gramStart"/>
      <w:r w:rsidRPr="00155318">
        <w:rPr>
          <w:rFonts w:ascii="Verdana" w:hAnsi="Verdana"/>
          <w:lang w:eastAsia="en-GB"/>
        </w:rPr>
        <w:t>report</w:t>
      </w:r>
      <w:proofErr w:type="gramEnd"/>
      <w:r w:rsidRPr="00155318">
        <w:rPr>
          <w:rFonts w:ascii="Verdana" w:hAnsi="Verdana"/>
          <w:lang w:eastAsia="en-GB"/>
        </w:rPr>
        <w:t xml:space="preserve"> </w:t>
      </w:r>
    </w:p>
    <w:p w14:paraId="6D0AE3DF" w14:textId="35543934" w:rsidR="00850D8E" w:rsidRPr="00850D8E" w:rsidRDefault="00850D8E" w:rsidP="00850D8E">
      <w:pPr>
        <w:ind w:left="720" w:firstLine="720"/>
        <w:rPr>
          <w:rFonts w:ascii="Verdana" w:hAnsi="Verdana"/>
          <w:color w:val="1F497D"/>
        </w:rPr>
      </w:pPr>
      <w:r w:rsidRPr="00850D8E">
        <w:rPr>
          <w:rFonts w:ascii="Verdana" w:hAnsi="Verdana"/>
          <w:lang w:eastAsia="en-GB"/>
        </w:rPr>
        <w:t xml:space="preserve"> </w:t>
      </w:r>
      <w:bookmarkStart w:id="0" w:name="_MON_1748928161"/>
      <w:bookmarkEnd w:id="0"/>
      <w:r w:rsidR="00E22D95">
        <w:rPr>
          <w:rFonts w:ascii="Verdana" w:hAnsi="Verdana"/>
          <w:lang w:eastAsia="en-GB"/>
        </w:rPr>
        <w:object w:dxaOrig="1534" w:dyaOrig="991" w14:anchorId="1ADB4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13" o:title=""/>
          </v:shape>
          <o:OLEObject Type="Embed" ProgID="Word.Document.12" ShapeID="_x0000_i1025" DrawAspect="Icon" ObjectID="_1765886750" r:id="rId14">
            <o:FieldCodes>\s</o:FieldCodes>
          </o:OLEObject>
        </w:object>
      </w:r>
    </w:p>
    <w:p w14:paraId="47856B7C" w14:textId="77777777" w:rsidR="00A96C73" w:rsidRPr="004D4AD1" w:rsidRDefault="00A96C73" w:rsidP="00A96C73">
      <w:pPr>
        <w:pStyle w:val="ListParagraph"/>
        <w:spacing w:after="0"/>
        <w:contextualSpacing w:val="0"/>
        <w:rPr>
          <w:rFonts w:ascii="Verdana" w:hAnsi="Verdana" w:cs="Arial"/>
        </w:rPr>
      </w:pPr>
    </w:p>
    <w:p w14:paraId="40323378" w14:textId="2034E0B1" w:rsidR="00F10251" w:rsidRDefault="00F10251" w:rsidP="006449EB">
      <w:pPr>
        <w:pStyle w:val="ListParagraph"/>
        <w:numPr>
          <w:ilvl w:val="0"/>
          <w:numId w:val="4"/>
        </w:numPr>
        <w:ind w:left="284" w:hanging="284"/>
        <w:rPr>
          <w:rFonts w:ascii="Verdana" w:hAnsi="Verdana"/>
          <w:lang w:eastAsia="en-GB"/>
        </w:rPr>
      </w:pPr>
      <w:r>
        <w:rPr>
          <w:rFonts w:ascii="Verdana" w:hAnsi="Verdana"/>
        </w:rPr>
        <w:t>N</w:t>
      </w:r>
      <w:r w:rsidR="00C452FE">
        <w:rPr>
          <w:rFonts w:ascii="Verdana" w:hAnsi="Verdana"/>
        </w:rPr>
        <w:t>o</w:t>
      </w:r>
      <w:r>
        <w:rPr>
          <w:rFonts w:ascii="Verdana" w:hAnsi="Verdana"/>
        </w:rPr>
        <w:t xml:space="preserve"> </w:t>
      </w:r>
      <w:r w:rsidR="00C452FE">
        <w:rPr>
          <w:rFonts w:ascii="Verdana" w:hAnsi="Verdana"/>
        </w:rPr>
        <w:t>W</w:t>
      </w:r>
      <w:r>
        <w:rPr>
          <w:rFonts w:ascii="Verdana" w:hAnsi="Verdana"/>
        </w:rPr>
        <w:t xml:space="preserve">elsh language breaches were recorded by the OPCC in this financial year and </w:t>
      </w:r>
      <w:r w:rsidR="00720D7A">
        <w:rPr>
          <w:rFonts w:ascii="Verdana" w:hAnsi="Verdana"/>
        </w:rPr>
        <w:t>n</w:t>
      </w:r>
      <w:r w:rsidR="00C452FE">
        <w:rPr>
          <w:rFonts w:ascii="Verdana" w:hAnsi="Verdana"/>
        </w:rPr>
        <w:t>o</w:t>
      </w:r>
      <w:r>
        <w:rPr>
          <w:rFonts w:ascii="Verdana" w:hAnsi="Verdana"/>
        </w:rPr>
        <w:t xml:space="preserve"> complaints were received </w:t>
      </w:r>
      <w:r w:rsidRPr="00F10251">
        <w:rPr>
          <w:rFonts w:ascii="Verdana" w:hAnsi="Verdana"/>
        </w:rPr>
        <w:t>relating to the office’s compliance with the standards</w:t>
      </w:r>
      <w:r>
        <w:rPr>
          <w:rFonts w:ascii="Verdana" w:hAnsi="Verdana"/>
        </w:rPr>
        <w:t>.</w:t>
      </w:r>
    </w:p>
    <w:p w14:paraId="1E995906" w14:textId="77777777" w:rsidR="00A96C73" w:rsidRDefault="00A96C73" w:rsidP="009E498F">
      <w:pPr>
        <w:pStyle w:val="ListParagraph"/>
        <w:ind w:left="0"/>
        <w:rPr>
          <w:rFonts w:ascii="Verdana" w:hAnsi="Verdana"/>
          <w:lang w:eastAsia="en-GB"/>
        </w:rPr>
      </w:pPr>
    </w:p>
    <w:p w14:paraId="1E0944D6" w14:textId="57D53AB2" w:rsidR="00A96C73" w:rsidRDefault="00F10251" w:rsidP="006449EB">
      <w:pPr>
        <w:pStyle w:val="ListParagraph"/>
        <w:numPr>
          <w:ilvl w:val="0"/>
          <w:numId w:val="4"/>
        </w:numPr>
        <w:ind w:left="284" w:hanging="284"/>
        <w:rPr>
          <w:rFonts w:ascii="Verdana" w:hAnsi="Verdana"/>
          <w:lang w:eastAsia="en-GB"/>
        </w:rPr>
      </w:pPr>
      <w:r w:rsidRPr="007373B4">
        <w:rPr>
          <w:rFonts w:ascii="Verdana" w:hAnsi="Verdana"/>
        </w:rPr>
        <w:t xml:space="preserve">Training </w:t>
      </w:r>
      <w:proofErr w:type="gramStart"/>
      <w:r w:rsidRPr="007373B4">
        <w:rPr>
          <w:rFonts w:ascii="Verdana" w:hAnsi="Verdana"/>
        </w:rPr>
        <w:t xml:space="preserve">– </w:t>
      </w:r>
      <w:r w:rsidR="007373B4" w:rsidRPr="007373B4">
        <w:rPr>
          <w:rFonts w:ascii="Verdana" w:hAnsi="Verdana"/>
        </w:rPr>
        <w:t>.</w:t>
      </w:r>
      <w:proofErr w:type="gramEnd"/>
      <w:r w:rsidR="00B1235A">
        <w:rPr>
          <w:rFonts w:ascii="Verdana" w:hAnsi="Verdana"/>
        </w:rPr>
        <w:t xml:space="preserve"> All staff have been provided with an opportunity to </w:t>
      </w:r>
      <w:r w:rsidR="00110489">
        <w:rPr>
          <w:rFonts w:ascii="Verdana" w:hAnsi="Verdana"/>
        </w:rPr>
        <w:t>attend Welsh language courses. Several members of staff have tasked themselves with talking more Welsh in the office environment to assist improving their skills</w:t>
      </w:r>
      <w:r w:rsidR="00B037A5">
        <w:rPr>
          <w:rFonts w:ascii="Verdana" w:hAnsi="Verdana"/>
        </w:rPr>
        <w:t xml:space="preserve">. </w:t>
      </w:r>
      <w:r w:rsidR="00B037A5">
        <w:rPr>
          <w:rFonts w:ascii="Verdana" w:hAnsi="Verdana"/>
        </w:rPr>
        <w:lastRenderedPageBreak/>
        <w:t>The office has introduced a monthly “</w:t>
      </w:r>
      <w:proofErr w:type="spellStart"/>
      <w:r w:rsidR="00B037A5">
        <w:rPr>
          <w:rFonts w:ascii="Verdana" w:hAnsi="Verdana"/>
        </w:rPr>
        <w:t>Clwb</w:t>
      </w:r>
      <w:proofErr w:type="spellEnd"/>
      <w:r w:rsidR="00B037A5">
        <w:rPr>
          <w:rFonts w:ascii="Verdana" w:hAnsi="Verdana"/>
        </w:rPr>
        <w:t xml:space="preserve"> </w:t>
      </w:r>
      <w:proofErr w:type="spellStart"/>
      <w:r w:rsidR="00B037A5">
        <w:rPr>
          <w:rFonts w:ascii="Verdana" w:hAnsi="Verdana"/>
        </w:rPr>
        <w:t>Clecs</w:t>
      </w:r>
      <w:proofErr w:type="spellEnd"/>
      <w:r w:rsidR="00B037A5">
        <w:rPr>
          <w:rFonts w:ascii="Verdana" w:hAnsi="Verdana"/>
        </w:rPr>
        <w:t xml:space="preserve">” which is a safe space for staff to meet and </w:t>
      </w:r>
      <w:r w:rsidR="00A75693">
        <w:rPr>
          <w:rFonts w:ascii="Verdana" w:hAnsi="Verdana"/>
        </w:rPr>
        <w:t>use their Welsh language skills.</w:t>
      </w:r>
    </w:p>
    <w:p w14:paraId="273750DF" w14:textId="77777777" w:rsidR="007373B4" w:rsidRPr="007373B4" w:rsidRDefault="007373B4" w:rsidP="007373B4">
      <w:pPr>
        <w:pStyle w:val="ListParagraph"/>
        <w:rPr>
          <w:rFonts w:ascii="Verdana" w:hAnsi="Verdana"/>
          <w:lang w:eastAsia="en-GB"/>
        </w:rPr>
      </w:pPr>
    </w:p>
    <w:p w14:paraId="5E1AC00D" w14:textId="2A399E20" w:rsidR="00DE309E" w:rsidRDefault="00DE309E" w:rsidP="006449EB">
      <w:pPr>
        <w:pStyle w:val="ListParagraph"/>
        <w:numPr>
          <w:ilvl w:val="0"/>
          <w:numId w:val="4"/>
        </w:numPr>
        <w:ind w:left="284" w:hanging="284"/>
        <w:rPr>
          <w:rFonts w:ascii="Verdana" w:hAnsi="Verdana"/>
          <w:lang w:eastAsia="en-GB"/>
        </w:rPr>
      </w:pPr>
      <w:r w:rsidRPr="00DE309E">
        <w:rPr>
          <w:rFonts w:ascii="Verdana" w:hAnsi="Verdana"/>
          <w:lang w:eastAsia="en-GB"/>
        </w:rPr>
        <w:t xml:space="preserve">The </w:t>
      </w:r>
      <w:r w:rsidR="00A75693">
        <w:rPr>
          <w:rFonts w:ascii="Verdana" w:hAnsi="Verdana"/>
          <w:lang w:eastAsia="en-GB"/>
        </w:rPr>
        <w:t>Business</w:t>
      </w:r>
      <w:r w:rsidRPr="00DE309E">
        <w:rPr>
          <w:rFonts w:ascii="Verdana" w:hAnsi="Verdana"/>
          <w:lang w:eastAsia="en-GB"/>
        </w:rPr>
        <w:t xml:space="preserve"> Manager attends </w:t>
      </w:r>
      <w:r>
        <w:rPr>
          <w:rFonts w:ascii="Verdana" w:hAnsi="Verdana"/>
          <w:lang w:eastAsia="en-GB"/>
        </w:rPr>
        <w:t xml:space="preserve">the quarterly Force </w:t>
      </w:r>
      <w:proofErr w:type="spellStart"/>
      <w:r w:rsidR="00CC4CA8" w:rsidRPr="00CC4CA8">
        <w:rPr>
          <w:rFonts w:ascii="Verdana" w:hAnsi="Verdana"/>
          <w:lang w:eastAsia="en-GB"/>
        </w:rPr>
        <w:t>Yr</w:t>
      </w:r>
      <w:proofErr w:type="spellEnd"/>
      <w:r w:rsidR="00CC4CA8" w:rsidRPr="00CC4CA8">
        <w:rPr>
          <w:rFonts w:ascii="Verdana" w:hAnsi="Verdana"/>
          <w:lang w:eastAsia="en-GB"/>
        </w:rPr>
        <w:t xml:space="preserve"> Iaith </w:t>
      </w:r>
      <w:proofErr w:type="spellStart"/>
      <w:r w:rsidR="00CC4CA8" w:rsidRPr="00CC4CA8">
        <w:rPr>
          <w:rFonts w:ascii="Verdana" w:hAnsi="Verdana"/>
          <w:lang w:eastAsia="en-GB"/>
        </w:rPr>
        <w:t>a'r</w:t>
      </w:r>
      <w:proofErr w:type="spellEnd"/>
      <w:r w:rsidR="00CC4CA8" w:rsidRPr="00CC4CA8">
        <w:rPr>
          <w:rFonts w:ascii="Verdana" w:hAnsi="Verdana"/>
          <w:lang w:eastAsia="en-GB"/>
        </w:rPr>
        <w:t xml:space="preserve"> </w:t>
      </w:r>
      <w:proofErr w:type="spellStart"/>
      <w:r w:rsidR="00CC4CA8" w:rsidRPr="00CC4CA8">
        <w:rPr>
          <w:rFonts w:ascii="Verdana" w:hAnsi="Verdana"/>
          <w:lang w:eastAsia="en-GB"/>
        </w:rPr>
        <w:t>Waith</w:t>
      </w:r>
      <w:proofErr w:type="spellEnd"/>
      <w:r w:rsidRPr="00DE309E">
        <w:rPr>
          <w:rFonts w:ascii="Verdana" w:hAnsi="Verdana"/>
          <w:lang w:eastAsia="en-GB"/>
        </w:rPr>
        <w:t xml:space="preserve"> meetings which gives the office the opportunity to understand the current issues the force </w:t>
      </w:r>
      <w:proofErr w:type="gramStart"/>
      <w:r w:rsidRPr="00DE309E">
        <w:rPr>
          <w:rFonts w:ascii="Verdana" w:hAnsi="Verdana"/>
          <w:lang w:eastAsia="en-GB"/>
        </w:rPr>
        <w:t>are</w:t>
      </w:r>
      <w:proofErr w:type="gramEnd"/>
      <w:r w:rsidRPr="00DE309E">
        <w:rPr>
          <w:rFonts w:ascii="Verdana" w:hAnsi="Verdana"/>
          <w:lang w:eastAsia="en-GB"/>
        </w:rPr>
        <w:t xml:space="preserve"> facing wit</w:t>
      </w:r>
      <w:r w:rsidR="00CC4CA8">
        <w:rPr>
          <w:rFonts w:ascii="Verdana" w:hAnsi="Verdana"/>
          <w:lang w:eastAsia="en-GB"/>
        </w:rPr>
        <w:t xml:space="preserve">h regards to the </w:t>
      </w:r>
      <w:r w:rsidR="00C452FE">
        <w:rPr>
          <w:rFonts w:ascii="Verdana" w:hAnsi="Verdana"/>
          <w:lang w:eastAsia="en-GB"/>
        </w:rPr>
        <w:t>W</w:t>
      </w:r>
      <w:r w:rsidR="00CC4CA8">
        <w:rPr>
          <w:rFonts w:ascii="Verdana" w:hAnsi="Verdana"/>
          <w:lang w:eastAsia="en-GB"/>
        </w:rPr>
        <w:t>elsh language.</w:t>
      </w:r>
    </w:p>
    <w:p w14:paraId="5427BDE1" w14:textId="110DFF9C" w:rsidR="00A96C73" w:rsidRDefault="00A96C73" w:rsidP="00A96C73">
      <w:pPr>
        <w:pStyle w:val="ListParagraph"/>
        <w:rPr>
          <w:rFonts w:ascii="Verdana" w:hAnsi="Verdana"/>
          <w:lang w:eastAsia="en-GB"/>
        </w:rPr>
      </w:pPr>
    </w:p>
    <w:p w14:paraId="34E935CA" w14:textId="63AEB6D3" w:rsidR="004B5DB9" w:rsidRPr="004B5DB9" w:rsidRDefault="00292EED" w:rsidP="004B5DB9">
      <w:pPr>
        <w:rPr>
          <w:rFonts w:ascii="Verdana" w:hAnsi="Verdana" w:cs="Arial"/>
          <w:b/>
          <w:u w:val="single"/>
        </w:rPr>
      </w:pPr>
      <w:r>
        <w:rPr>
          <w:rFonts w:ascii="Verdana" w:hAnsi="Verdana" w:cs="Arial"/>
          <w:b/>
          <w:u w:val="single"/>
        </w:rPr>
        <w:t xml:space="preserve">3. </w:t>
      </w:r>
      <w:r w:rsidR="005C46DD">
        <w:rPr>
          <w:rFonts w:ascii="Verdana" w:hAnsi="Verdana" w:cs="Arial"/>
          <w:b/>
          <w:u w:val="single"/>
        </w:rPr>
        <w:t>Information Management</w:t>
      </w:r>
    </w:p>
    <w:p w14:paraId="71C168B0" w14:textId="582DCE1A" w:rsidR="004B5DB9" w:rsidRDefault="00850D8E" w:rsidP="004B5DB9">
      <w:pPr>
        <w:rPr>
          <w:rFonts w:ascii="Verdana" w:hAnsi="Verdana"/>
          <w:lang w:eastAsia="en-GB"/>
        </w:rPr>
      </w:pPr>
      <w:r>
        <w:rPr>
          <w:rFonts w:ascii="Verdana" w:hAnsi="Verdana"/>
          <w:lang w:eastAsia="en-GB"/>
        </w:rPr>
        <w:t xml:space="preserve">Information Management is the process of collecting, storing, managing and maintaining information in all its forms. </w:t>
      </w:r>
      <w:r w:rsidR="00A834E8">
        <w:rPr>
          <w:rFonts w:ascii="Verdana" w:hAnsi="Verdana"/>
          <w:lang w:eastAsia="en-GB"/>
        </w:rPr>
        <w:t>The</w:t>
      </w:r>
      <w:r w:rsidR="004B5DB9">
        <w:rPr>
          <w:rFonts w:ascii="Verdana" w:hAnsi="Verdana"/>
          <w:lang w:eastAsia="en-GB"/>
        </w:rPr>
        <w:t xml:space="preserve"> </w:t>
      </w:r>
      <w:r w:rsidR="00017C5E">
        <w:rPr>
          <w:rFonts w:ascii="Verdana" w:hAnsi="Verdana"/>
          <w:lang w:eastAsia="en-GB"/>
        </w:rPr>
        <w:t xml:space="preserve">OPCC must abide by the </w:t>
      </w:r>
      <w:r w:rsidR="009078FE">
        <w:rPr>
          <w:rFonts w:ascii="Verdana" w:hAnsi="Verdana"/>
          <w:lang w:eastAsia="en-GB"/>
        </w:rPr>
        <w:t xml:space="preserve">legal requirements set out in the Data Protection Act (2018) and the </w:t>
      </w:r>
      <w:r w:rsidR="00636738">
        <w:rPr>
          <w:rFonts w:ascii="Verdana" w:hAnsi="Verdana"/>
          <w:lang w:eastAsia="en-GB"/>
        </w:rPr>
        <w:t xml:space="preserve">UK </w:t>
      </w:r>
      <w:r w:rsidR="004B5DB9">
        <w:rPr>
          <w:rFonts w:ascii="Verdana" w:hAnsi="Verdana"/>
          <w:lang w:eastAsia="en-GB"/>
        </w:rPr>
        <w:t>General Data Protection Re</w:t>
      </w:r>
      <w:r w:rsidR="00CB025C">
        <w:rPr>
          <w:rFonts w:ascii="Verdana" w:hAnsi="Verdana"/>
          <w:lang w:eastAsia="en-GB"/>
        </w:rPr>
        <w:t>gulations (UK GDPR)</w:t>
      </w:r>
    </w:p>
    <w:p w14:paraId="2B8ABCFE" w14:textId="501908F7" w:rsidR="002723C6" w:rsidRPr="006449EB" w:rsidRDefault="002723C6" w:rsidP="006449EB">
      <w:pPr>
        <w:pStyle w:val="ListParagraph"/>
        <w:numPr>
          <w:ilvl w:val="0"/>
          <w:numId w:val="5"/>
        </w:numPr>
        <w:ind w:left="284" w:hanging="284"/>
        <w:rPr>
          <w:rFonts w:ascii="Verdana" w:hAnsi="Verdana"/>
        </w:rPr>
      </w:pPr>
      <w:r>
        <w:rPr>
          <w:rFonts w:ascii="Verdana" w:hAnsi="Verdana" w:cs="Arial"/>
          <w:lang w:eastAsia="en-GB"/>
        </w:rPr>
        <w:t xml:space="preserve">Following a piece of work </w:t>
      </w:r>
      <w:r w:rsidR="00A60CD9">
        <w:rPr>
          <w:rFonts w:ascii="Verdana" w:hAnsi="Verdana" w:cs="Arial"/>
          <w:lang w:eastAsia="en-GB"/>
        </w:rPr>
        <w:t xml:space="preserve">that considered introducing an Information Sharing Protocol between the Force and the OPCC, it was considered that the </w:t>
      </w:r>
      <w:r w:rsidR="00FF514F">
        <w:rPr>
          <w:rFonts w:ascii="Verdana" w:hAnsi="Verdana" w:cs="Arial"/>
          <w:lang w:eastAsia="en-GB"/>
        </w:rPr>
        <w:t xml:space="preserve">robust and </w:t>
      </w:r>
      <w:proofErr w:type="gramStart"/>
      <w:r w:rsidR="00FF514F">
        <w:rPr>
          <w:rFonts w:ascii="Verdana" w:hAnsi="Verdana" w:cs="Arial"/>
          <w:lang w:eastAsia="en-GB"/>
        </w:rPr>
        <w:t>in depth</w:t>
      </w:r>
      <w:proofErr w:type="gramEnd"/>
      <w:r w:rsidR="00FF514F">
        <w:rPr>
          <w:rFonts w:ascii="Verdana" w:hAnsi="Verdana" w:cs="Arial"/>
          <w:lang w:eastAsia="en-GB"/>
        </w:rPr>
        <w:t xml:space="preserve"> Corporate Governance Framework would be sufficient.</w:t>
      </w:r>
      <w:r w:rsidR="0034547C">
        <w:rPr>
          <w:rFonts w:ascii="Verdana" w:hAnsi="Verdana" w:cs="Arial"/>
          <w:lang w:eastAsia="en-GB"/>
        </w:rPr>
        <w:t xml:space="preserve"> There has always been an understanding that the sharing of information between </w:t>
      </w:r>
      <w:r w:rsidR="00410388">
        <w:rPr>
          <w:rFonts w:ascii="Verdana" w:hAnsi="Verdana" w:cs="Arial"/>
          <w:lang w:eastAsia="en-GB"/>
        </w:rPr>
        <w:t xml:space="preserve">the OPCC and the Force is covered by the Policing Protocol Order </w:t>
      </w:r>
      <w:proofErr w:type="gramStart"/>
      <w:r w:rsidR="00410388">
        <w:rPr>
          <w:rFonts w:ascii="Verdana" w:hAnsi="Verdana" w:cs="Arial"/>
          <w:lang w:eastAsia="en-GB"/>
        </w:rPr>
        <w:t>2011</w:t>
      </w:r>
      <w:proofErr w:type="gramEnd"/>
      <w:r w:rsidR="00054392">
        <w:rPr>
          <w:rFonts w:ascii="Verdana" w:hAnsi="Verdana" w:cs="Arial"/>
          <w:lang w:eastAsia="en-GB"/>
        </w:rPr>
        <w:t xml:space="preserve"> and</w:t>
      </w:r>
      <w:r w:rsidR="00410388">
        <w:rPr>
          <w:rFonts w:ascii="Verdana" w:hAnsi="Verdana" w:cs="Arial"/>
          <w:lang w:eastAsia="en-GB"/>
        </w:rPr>
        <w:t xml:space="preserve"> it </w:t>
      </w:r>
      <w:r w:rsidR="00054392">
        <w:rPr>
          <w:rFonts w:ascii="Verdana" w:hAnsi="Verdana" w:cs="Arial"/>
          <w:lang w:eastAsia="en-GB"/>
        </w:rPr>
        <w:t>is considered</w:t>
      </w:r>
      <w:r w:rsidR="00410388">
        <w:rPr>
          <w:rFonts w:ascii="Verdana" w:hAnsi="Verdana" w:cs="Arial"/>
          <w:lang w:eastAsia="en-GB"/>
        </w:rPr>
        <w:t xml:space="preserve"> that the Corporate Governance Framework </w:t>
      </w:r>
      <w:r w:rsidR="00CC6F06">
        <w:rPr>
          <w:rFonts w:ascii="Verdana" w:hAnsi="Verdana" w:cs="Arial"/>
          <w:lang w:eastAsia="en-GB"/>
        </w:rPr>
        <w:t xml:space="preserve">is an added layer of protection. The Framework is reviewed on an annual basis when any issues around information sharing are </w:t>
      </w:r>
      <w:r w:rsidR="00054392">
        <w:rPr>
          <w:rFonts w:ascii="Verdana" w:hAnsi="Verdana" w:cs="Arial"/>
          <w:lang w:eastAsia="en-GB"/>
        </w:rPr>
        <w:t>reviewed.</w:t>
      </w:r>
    </w:p>
    <w:p w14:paraId="4A7FA402" w14:textId="1DC3ACEE" w:rsidR="00292EED" w:rsidRPr="006449EB" w:rsidRDefault="00292EED" w:rsidP="006449EB">
      <w:pPr>
        <w:pStyle w:val="ListParagraph"/>
        <w:ind w:left="0"/>
        <w:rPr>
          <w:rFonts w:ascii="Verdana" w:hAnsi="Verdana" w:cs="Arial"/>
          <w:lang w:eastAsia="en-GB"/>
        </w:rPr>
      </w:pPr>
    </w:p>
    <w:p w14:paraId="540BED75" w14:textId="42AF8FAC" w:rsidR="00CC54DA" w:rsidRPr="00CC54DA" w:rsidRDefault="00054392" w:rsidP="00960280">
      <w:pPr>
        <w:pStyle w:val="ListParagraph"/>
        <w:numPr>
          <w:ilvl w:val="0"/>
          <w:numId w:val="5"/>
        </w:numPr>
        <w:ind w:left="284" w:hanging="284"/>
        <w:rPr>
          <w:rFonts w:ascii="Verdana" w:hAnsi="Verdana" w:cs="Arial"/>
          <w:lang w:eastAsia="en-GB"/>
        </w:rPr>
      </w:pPr>
      <w:r>
        <w:rPr>
          <w:rFonts w:ascii="Verdana" w:hAnsi="Verdana" w:cs="Arial"/>
          <w:lang w:eastAsia="en-GB"/>
        </w:rPr>
        <w:t xml:space="preserve">OPCC </w:t>
      </w:r>
      <w:r w:rsidR="00704481">
        <w:rPr>
          <w:rFonts w:ascii="Verdana" w:hAnsi="Verdana" w:cs="Arial"/>
          <w:lang w:eastAsia="en-GB"/>
        </w:rPr>
        <w:t>staff have previously received training on</w:t>
      </w:r>
      <w:r w:rsidR="00B254C8">
        <w:rPr>
          <w:rFonts w:ascii="Verdana" w:hAnsi="Verdana" w:cs="Arial"/>
          <w:lang w:eastAsia="en-GB"/>
        </w:rPr>
        <w:t xml:space="preserve"> DPIA’s </w:t>
      </w:r>
      <w:r w:rsidR="00704481">
        <w:rPr>
          <w:rFonts w:ascii="Verdana" w:hAnsi="Verdana" w:cs="Arial"/>
          <w:lang w:eastAsia="en-GB"/>
        </w:rPr>
        <w:t>and are aware of their responsibility to complete when necessary</w:t>
      </w:r>
      <w:r>
        <w:rPr>
          <w:rFonts w:ascii="Verdana" w:hAnsi="Verdana" w:cs="Arial"/>
          <w:lang w:eastAsia="en-GB"/>
        </w:rPr>
        <w:t>. They</w:t>
      </w:r>
      <w:r w:rsidR="00924BB2">
        <w:rPr>
          <w:rFonts w:ascii="Verdana" w:hAnsi="Verdana" w:cs="Arial"/>
          <w:lang w:eastAsia="en-GB"/>
        </w:rPr>
        <w:t xml:space="preserve"> receive support from the </w:t>
      </w:r>
      <w:r w:rsidR="00093F04">
        <w:rPr>
          <w:rFonts w:ascii="Verdana" w:hAnsi="Verdana" w:cs="Arial"/>
          <w:lang w:eastAsia="en-GB"/>
        </w:rPr>
        <w:t>Information Management department in the Force.</w:t>
      </w:r>
      <w:r w:rsidR="00960280">
        <w:rPr>
          <w:rFonts w:ascii="Verdana" w:hAnsi="Verdana" w:cs="Arial"/>
          <w:lang w:eastAsia="en-GB"/>
        </w:rPr>
        <w:t xml:space="preserve"> Further refresher training will be provided during 2023/2024.</w:t>
      </w:r>
      <w:r>
        <w:rPr>
          <w:rFonts w:ascii="Verdana" w:hAnsi="Verdana" w:cs="Arial"/>
          <w:lang w:eastAsia="en-GB"/>
        </w:rPr>
        <w:t xml:space="preserve"> </w:t>
      </w:r>
      <w:r w:rsidR="00704481">
        <w:rPr>
          <w:rFonts w:ascii="Verdana" w:hAnsi="Verdana" w:cs="Arial"/>
          <w:lang w:eastAsia="en-GB"/>
        </w:rPr>
        <w:t xml:space="preserve">Along with DPIAs it is essential that </w:t>
      </w:r>
      <w:r w:rsidR="00704481">
        <w:rPr>
          <w:rFonts w:ascii="Verdana" w:hAnsi="Verdana" w:cs="Arial"/>
          <w:shd w:val="clear" w:color="auto" w:fill="FFFFFF"/>
        </w:rPr>
        <w:t>a</w:t>
      </w:r>
      <w:r w:rsidR="00704481" w:rsidRPr="00704481">
        <w:rPr>
          <w:rFonts w:ascii="Verdana" w:hAnsi="Verdana" w:cs="Arial"/>
          <w:shd w:val="clear" w:color="auto" w:fill="FFFFFF"/>
        </w:rPr>
        <w:t xml:space="preserve">n </w:t>
      </w:r>
      <w:r w:rsidR="00B30CCC">
        <w:rPr>
          <w:rFonts w:ascii="Verdana" w:hAnsi="Verdana" w:cs="Arial"/>
          <w:shd w:val="clear" w:color="auto" w:fill="FFFFFF"/>
        </w:rPr>
        <w:t>E</w:t>
      </w:r>
      <w:r w:rsidR="00704481" w:rsidRPr="00704481">
        <w:rPr>
          <w:rFonts w:ascii="Verdana" w:hAnsi="Verdana" w:cs="Arial"/>
          <w:shd w:val="clear" w:color="auto" w:fill="FFFFFF"/>
        </w:rPr>
        <w:t xml:space="preserve">quality </w:t>
      </w:r>
      <w:r w:rsidR="00B30CCC">
        <w:rPr>
          <w:rFonts w:ascii="Verdana" w:hAnsi="Verdana" w:cs="Arial"/>
          <w:shd w:val="clear" w:color="auto" w:fill="FFFFFF"/>
        </w:rPr>
        <w:t>I</w:t>
      </w:r>
      <w:r w:rsidR="00704481" w:rsidRPr="00704481">
        <w:rPr>
          <w:rFonts w:ascii="Verdana" w:hAnsi="Verdana" w:cs="Arial"/>
          <w:shd w:val="clear" w:color="auto" w:fill="FFFFFF"/>
        </w:rPr>
        <w:t xml:space="preserve">mpact </w:t>
      </w:r>
      <w:r w:rsidR="00B30CCC">
        <w:rPr>
          <w:rFonts w:ascii="Verdana" w:hAnsi="Verdana" w:cs="Arial"/>
          <w:shd w:val="clear" w:color="auto" w:fill="FFFFFF"/>
        </w:rPr>
        <w:t>A</w:t>
      </w:r>
      <w:r w:rsidR="00704481" w:rsidRPr="00704481">
        <w:rPr>
          <w:rFonts w:ascii="Verdana" w:hAnsi="Verdana" w:cs="Arial"/>
          <w:shd w:val="clear" w:color="auto" w:fill="FFFFFF"/>
        </w:rPr>
        <w:t xml:space="preserve">ssessment should be carried out on any Policy, Procedure or Activity which the </w:t>
      </w:r>
      <w:r w:rsidR="00704481">
        <w:rPr>
          <w:rFonts w:ascii="Verdana" w:hAnsi="Verdana" w:cs="Arial"/>
          <w:shd w:val="clear" w:color="auto" w:fill="FFFFFF"/>
        </w:rPr>
        <w:t>OPCC</w:t>
      </w:r>
      <w:r w:rsidR="00704481" w:rsidRPr="00704481">
        <w:rPr>
          <w:rFonts w:ascii="Verdana" w:hAnsi="Verdana" w:cs="Arial"/>
          <w:shd w:val="clear" w:color="auto" w:fill="FFFFFF"/>
        </w:rPr>
        <w:t xml:space="preserve"> undertakes </w:t>
      </w:r>
      <w:proofErr w:type="gramStart"/>
      <w:r w:rsidR="00704481" w:rsidRPr="00704481">
        <w:rPr>
          <w:rFonts w:ascii="Verdana" w:hAnsi="Verdana" w:cs="Arial"/>
          <w:shd w:val="clear" w:color="auto" w:fill="FFFFFF"/>
        </w:rPr>
        <w:t>in order to</w:t>
      </w:r>
      <w:proofErr w:type="gramEnd"/>
      <w:r w:rsidR="00704481" w:rsidRPr="00704481">
        <w:rPr>
          <w:rFonts w:ascii="Verdana" w:hAnsi="Verdana" w:cs="Arial"/>
          <w:shd w:val="clear" w:color="auto" w:fill="FFFFFF"/>
        </w:rPr>
        <w:t xml:space="preserve"> ensure that we are making every effort to eliminate discrimination and promote equality within our business areas. The assessment is a process which should begin at the very start of introducing a Policy, Procedure or Activity – not an afterthought following a decision.</w:t>
      </w:r>
      <w:r w:rsidR="00704481">
        <w:rPr>
          <w:rFonts w:ascii="Verdana" w:hAnsi="Verdana" w:cs="Arial"/>
          <w:shd w:val="clear" w:color="auto" w:fill="FFFFFF"/>
        </w:rPr>
        <w:t xml:space="preserve"> </w:t>
      </w:r>
      <w:r w:rsidR="00093F04">
        <w:rPr>
          <w:rFonts w:ascii="Verdana" w:hAnsi="Verdana" w:cs="Arial"/>
          <w:shd w:val="clear" w:color="auto" w:fill="FFFFFF"/>
        </w:rPr>
        <w:t>During this financial year</w:t>
      </w:r>
      <w:r w:rsidR="00CC54DA">
        <w:rPr>
          <w:rFonts w:ascii="Verdana" w:hAnsi="Verdana" w:cs="Arial"/>
          <w:shd w:val="clear" w:color="auto" w:fill="FFFFFF"/>
        </w:rPr>
        <w:t xml:space="preserve"> EIAs were completed on</w:t>
      </w:r>
    </w:p>
    <w:p w14:paraId="63555BAC" w14:textId="59725C7A" w:rsidR="00704481" w:rsidRPr="005B1954" w:rsidRDefault="005B1954" w:rsidP="00B6159C">
      <w:pPr>
        <w:pStyle w:val="ListParagraph"/>
        <w:numPr>
          <w:ilvl w:val="1"/>
          <w:numId w:val="5"/>
        </w:numPr>
        <w:ind w:left="284" w:hanging="284"/>
        <w:rPr>
          <w:rFonts w:ascii="Verdana" w:hAnsi="Verdana" w:cs="Arial"/>
          <w:lang w:eastAsia="en-GB"/>
        </w:rPr>
      </w:pPr>
      <w:r>
        <w:rPr>
          <w:rFonts w:ascii="Verdana" w:hAnsi="Verdana" w:cs="Arial"/>
          <w:shd w:val="clear" w:color="auto" w:fill="FFFFFF"/>
        </w:rPr>
        <w:t>The Police and Crime Plan Consultations</w:t>
      </w:r>
    </w:p>
    <w:p w14:paraId="13529EF2" w14:textId="7E5BBB26" w:rsidR="005B1954" w:rsidRPr="00FB58E0" w:rsidRDefault="00FB58E0" w:rsidP="00B6159C">
      <w:pPr>
        <w:pStyle w:val="ListParagraph"/>
        <w:numPr>
          <w:ilvl w:val="1"/>
          <w:numId w:val="5"/>
        </w:numPr>
        <w:ind w:left="284" w:hanging="284"/>
        <w:rPr>
          <w:rFonts w:ascii="Verdana" w:hAnsi="Verdana" w:cs="Arial"/>
          <w:lang w:eastAsia="en-GB"/>
        </w:rPr>
      </w:pPr>
      <w:r>
        <w:rPr>
          <w:rFonts w:ascii="Verdana" w:hAnsi="Verdana" w:cs="Arial"/>
          <w:shd w:val="clear" w:color="auto" w:fill="FFFFFF"/>
        </w:rPr>
        <w:t>Victim Engagement Forum</w:t>
      </w:r>
    </w:p>
    <w:p w14:paraId="2027A2F5" w14:textId="62B9D8DA" w:rsidR="00FB58E0" w:rsidRPr="00FB58E0" w:rsidRDefault="00FB58E0" w:rsidP="00B6159C">
      <w:pPr>
        <w:pStyle w:val="ListParagraph"/>
        <w:numPr>
          <w:ilvl w:val="1"/>
          <w:numId w:val="5"/>
        </w:numPr>
        <w:ind w:left="284" w:hanging="284"/>
        <w:rPr>
          <w:rFonts w:ascii="Verdana" w:hAnsi="Verdana" w:cs="Arial"/>
          <w:lang w:eastAsia="en-GB"/>
        </w:rPr>
      </w:pPr>
      <w:r>
        <w:rPr>
          <w:rFonts w:ascii="Verdana" w:hAnsi="Verdana" w:cs="Arial"/>
          <w:shd w:val="clear" w:color="auto" w:fill="FFFFFF"/>
        </w:rPr>
        <w:t>Consultation and Engagement</w:t>
      </w:r>
    </w:p>
    <w:p w14:paraId="0EC10AF9" w14:textId="7E4153B0" w:rsidR="00FB58E0" w:rsidRPr="00FB58E0" w:rsidRDefault="00FB58E0" w:rsidP="00B6159C">
      <w:pPr>
        <w:pStyle w:val="ListParagraph"/>
        <w:numPr>
          <w:ilvl w:val="1"/>
          <w:numId w:val="5"/>
        </w:numPr>
        <w:ind w:left="284" w:hanging="284"/>
        <w:rPr>
          <w:rFonts w:ascii="Verdana" w:hAnsi="Verdana" w:cs="Arial"/>
          <w:lang w:eastAsia="en-GB"/>
        </w:rPr>
      </w:pPr>
      <w:r>
        <w:rPr>
          <w:rFonts w:ascii="Verdana" w:hAnsi="Verdana" w:cs="Arial"/>
          <w:shd w:val="clear" w:color="auto" w:fill="FFFFFF"/>
        </w:rPr>
        <w:t>The new Police and Crime Plan</w:t>
      </w:r>
    </w:p>
    <w:p w14:paraId="2B349527" w14:textId="4B0A6EF0" w:rsidR="00FB58E0" w:rsidRPr="00704481" w:rsidRDefault="004254E2" w:rsidP="00B6159C">
      <w:pPr>
        <w:pStyle w:val="ListParagraph"/>
        <w:numPr>
          <w:ilvl w:val="1"/>
          <w:numId w:val="5"/>
        </w:numPr>
        <w:ind w:left="284" w:hanging="284"/>
        <w:rPr>
          <w:rFonts w:ascii="Verdana" w:hAnsi="Verdana" w:cs="Arial"/>
          <w:lang w:eastAsia="en-GB"/>
        </w:rPr>
      </w:pPr>
      <w:r>
        <w:rPr>
          <w:rFonts w:ascii="Verdana" w:hAnsi="Verdana" w:cs="Arial"/>
          <w:shd w:val="clear" w:color="auto" w:fill="FFFFFF"/>
        </w:rPr>
        <w:t>Council Tax Police Precept</w:t>
      </w:r>
    </w:p>
    <w:p w14:paraId="40D84CC4" w14:textId="4505CBC0" w:rsidR="00292EED" w:rsidRPr="00704481" w:rsidRDefault="00292EED" w:rsidP="00292EED">
      <w:pPr>
        <w:pStyle w:val="ListParagraph"/>
        <w:ind w:left="714"/>
        <w:rPr>
          <w:rFonts w:ascii="Verdana" w:hAnsi="Verdana" w:cs="Arial"/>
          <w:lang w:eastAsia="en-GB"/>
        </w:rPr>
      </w:pPr>
    </w:p>
    <w:p w14:paraId="520E5277" w14:textId="2FC2D5F2" w:rsidR="005B2DD2" w:rsidRPr="005B2DD2" w:rsidRDefault="00D74075" w:rsidP="00B6159C">
      <w:pPr>
        <w:pStyle w:val="ListParagraph"/>
        <w:numPr>
          <w:ilvl w:val="0"/>
          <w:numId w:val="5"/>
        </w:numPr>
        <w:ind w:left="284" w:hanging="284"/>
        <w:rPr>
          <w:rFonts w:ascii="Verdana" w:hAnsi="Verdana"/>
          <w:lang w:eastAsia="en-GB"/>
        </w:rPr>
      </w:pPr>
      <w:r>
        <w:rPr>
          <w:rFonts w:ascii="Verdana" w:hAnsi="Verdana"/>
          <w:lang w:eastAsia="en-GB"/>
        </w:rPr>
        <w:lastRenderedPageBreak/>
        <w:t xml:space="preserve">12 </w:t>
      </w:r>
      <w:r w:rsidR="00704481" w:rsidRPr="005B2DD2">
        <w:rPr>
          <w:rFonts w:ascii="Verdana" w:hAnsi="Verdana"/>
          <w:lang w:eastAsia="en-GB"/>
        </w:rPr>
        <w:t>potential</w:t>
      </w:r>
      <w:r w:rsidR="00292EED" w:rsidRPr="005B2DD2">
        <w:rPr>
          <w:rFonts w:ascii="Verdana" w:hAnsi="Verdana"/>
          <w:lang w:eastAsia="en-GB"/>
        </w:rPr>
        <w:t xml:space="preserve"> data protection breach</w:t>
      </w:r>
      <w:r w:rsidR="005B2DD2" w:rsidRPr="005B2DD2">
        <w:rPr>
          <w:rFonts w:ascii="Verdana" w:hAnsi="Verdana"/>
          <w:lang w:eastAsia="en-GB"/>
        </w:rPr>
        <w:t>es</w:t>
      </w:r>
      <w:r w:rsidR="00B30CCC">
        <w:rPr>
          <w:rFonts w:ascii="Verdana" w:hAnsi="Verdana"/>
          <w:lang w:eastAsia="en-GB"/>
        </w:rPr>
        <w:t xml:space="preserve"> within the OPCC</w:t>
      </w:r>
      <w:r w:rsidR="005B2DD2" w:rsidRPr="005B2DD2">
        <w:rPr>
          <w:rFonts w:ascii="Verdana" w:hAnsi="Verdana"/>
          <w:lang w:eastAsia="en-GB"/>
        </w:rPr>
        <w:t xml:space="preserve"> have been recorded this year:</w:t>
      </w:r>
    </w:p>
    <w:p w14:paraId="43DA78A0" w14:textId="4E99CC46" w:rsidR="00EC2B3F" w:rsidRDefault="00EC2B3F" w:rsidP="0041589D">
      <w:pPr>
        <w:pStyle w:val="ListParagraph"/>
        <w:ind w:left="284"/>
        <w:rPr>
          <w:rFonts w:ascii="Verdana" w:hAnsi="Verdana"/>
          <w:lang w:eastAsia="en-GB"/>
        </w:rPr>
      </w:pPr>
    </w:p>
    <w:p w14:paraId="1B92E513" w14:textId="2BFF8EBB" w:rsidR="00B22A51" w:rsidRDefault="00B5622A" w:rsidP="00B6159C">
      <w:pPr>
        <w:pStyle w:val="ListParagraph"/>
        <w:numPr>
          <w:ilvl w:val="1"/>
          <w:numId w:val="5"/>
        </w:numPr>
        <w:ind w:left="284" w:hanging="284"/>
        <w:rPr>
          <w:rFonts w:ascii="Verdana" w:hAnsi="Verdana"/>
          <w:lang w:eastAsia="en-GB"/>
        </w:rPr>
      </w:pPr>
      <w:r>
        <w:rPr>
          <w:rFonts w:ascii="Verdana" w:hAnsi="Verdana"/>
          <w:lang w:eastAsia="en-GB"/>
        </w:rPr>
        <w:t xml:space="preserve">1 was an email </w:t>
      </w:r>
      <w:r w:rsidR="009E1269">
        <w:rPr>
          <w:rFonts w:ascii="Verdana" w:hAnsi="Verdana"/>
          <w:lang w:eastAsia="en-GB"/>
        </w:rPr>
        <w:t>that was forwarded to the OPCC inbox when it was stated not to do so. The individual who forwarded the email was advised of their error.</w:t>
      </w:r>
    </w:p>
    <w:p w14:paraId="2FEB2906" w14:textId="591B1EC5" w:rsidR="009E1269" w:rsidRDefault="0078390C" w:rsidP="00B6159C">
      <w:pPr>
        <w:pStyle w:val="ListParagraph"/>
        <w:numPr>
          <w:ilvl w:val="1"/>
          <w:numId w:val="5"/>
        </w:numPr>
        <w:ind w:left="284" w:hanging="284"/>
        <w:rPr>
          <w:rFonts w:ascii="Verdana" w:hAnsi="Verdana"/>
          <w:lang w:eastAsia="en-GB"/>
        </w:rPr>
      </w:pPr>
      <w:r>
        <w:rPr>
          <w:rFonts w:ascii="Verdana" w:hAnsi="Verdana"/>
          <w:lang w:eastAsia="en-GB"/>
        </w:rPr>
        <w:t xml:space="preserve">1 email was sent to a large group of recipients and their email addresses were shared. </w:t>
      </w:r>
    </w:p>
    <w:p w14:paraId="09ECCF65" w14:textId="1D821610" w:rsidR="00B144A1" w:rsidRDefault="00B144A1" w:rsidP="00B6159C">
      <w:pPr>
        <w:pStyle w:val="ListParagraph"/>
        <w:numPr>
          <w:ilvl w:val="1"/>
          <w:numId w:val="5"/>
        </w:numPr>
        <w:ind w:left="284" w:hanging="284"/>
        <w:rPr>
          <w:rFonts w:ascii="Verdana" w:hAnsi="Verdana"/>
          <w:lang w:eastAsia="en-GB"/>
        </w:rPr>
      </w:pPr>
      <w:r>
        <w:rPr>
          <w:rFonts w:ascii="Verdana" w:hAnsi="Verdana"/>
          <w:lang w:eastAsia="en-GB"/>
        </w:rPr>
        <w:t>3 emails were flagged as possibly including one of 7 pieces of personal data but on investigation they were found not to.</w:t>
      </w:r>
    </w:p>
    <w:p w14:paraId="4EB66C04" w14:textId="55FC31BF" w:rsidR="00B144A1" w:rsidRDefault="00B144A1" w:rsidP="00B6159C">
      <w:pPr>
        <w:pStyle w:val="ListParagraph"/>
        <w:numPr>
          <w:ilvl w:val="1"/>
          <w:numId w:val="5"/>
        </w:numPr>
        <w:ind w:left="284" w:hanging="284"/>
        <w:rPr>
          <w:rFonts w:ascii="Verdana" w:hAnsi="Verdana"/>
          <w:lang w:eastAsia="en-GB"/>
        </w:rPr>
      </w:pPr>
      <w:r>
        <w:rPr>
          <w:rFonts w:ascii="Verdana" w:hAnsi="Verdana"/>
          <w:lang w:eastAsia="en-GB"/>
        </w:rPr>
        <w:t xml:space="preserve">7 emails were received in the OPCC inbox from external organisations that contained personal data of individuals. The senders were informed of their error and advised to make their DPO aware. All emails were double deleted </w:t>
      </w:r>
      <w:r w:rsidR="00C85D92">
        <w:rPr>
          <w:rFonts w:ascii="Verdana" w:hAnsi="Verdana"/>
          <w:lang w:eastAsia="en-GB"/>
        </w:rPr>
        <w:t>from our systems.</w:t>
      </w:r>
    </w:p>
    <w:p w14:paraId="27BD1FC3" w14:textId="77777777" w:rsidR="00A27342" w:rsidRPr="00A27342" w:rsidRDefault="00A27342" w:rsidP="00B6159C">
      <w:pPr>
        <w:pStyle w:val="ListParagraph"/>
        <w:ind w:left="284" w:hanging="284"/>
        <w:rPr>
          <w:rFonts w:ascii="Verdana" w:hAnsi="Verdana"/>
          <w:lang w:eastAsia="en-GB"/>
        </w:rPr>
      </w:pPr>
    </w:p>
    <w:p w14:paraId="393518A4" w14:textId="2A2A9E0A" w:rsidR="005B2DD2" w:rsidRPr="00A27342" w:rsidRDefault="005B2DD2" w:rsidP="00B6159C">
      <w:pPr>
        <w:pStyle w:val="ListParagraph"/>
        <w:ind w:left="0"/>
        <w:rPr>
          <w:rFonts w:ascii="Verdana" w:hAnsi="Verdana"/>
          <w:lang w:eastAsia="en-GB"/>
        </w:rPr>
      </w:pPr>
      <w:r w:rsidRPr="00A27342">
        <w:rPr>
          <w:rFonts w:ascii="Verdana" w:hAnsi="Verdana"/>
          <w:lang w:eastAsia="en-GB"/>
        </w:rPr>
        <w:t xml:space="preserve">In all </w:t>
      </w:r>
      <w:r w:rsidR="006756A0" w:rsidRPr="00A27342">
        <w:rPr>
          <w:rFonts w:ascii="Verdana" w:hAnsi="Verdana"/>
          <w:lang w:eastAsia="en-GB"/>
        </w:rPr>
        <w:t xml:space="preserve">circumstances the breaches were immediately </w:t>
      </w:r>
      <w:proofErr w:type="gramStart"/>
      <w:r w:rsidR="006756A0" w:rsidRPr="00A27342">
        <w:rPr>
          <w:rFonts w:ascii="Verdana" w:hAnsi="Verdana"/>
          <w:lang w:eastAsia="en-GB"/>
        </w:rPr>
        <w:t>recorded</w:t>
      </w:r>
      <w:proofErr w:type="gramEnd"/>
      <w:r w:rsidR="006756A0" w:rsidRPr="00A27342">
        <w:rPr>
          <w:rFonts w:ascii="Verdana" w:hAnsi="Verdana"/>
          <w:lang w:eastAsia="en-GB"/>
        </w:rPr>
        <w:t xml:space="preserve"> and the appropriate actions taken. The OPCC DPO was informed</w:t>
      </w:r>
      <w:r w:rsidR="004A217B">
        <w:rPr>
          <w:rFonts w:ascii="Verdana" w:hAnsi="Verdana"/>
          <w:lang w:eastAsia="en-GB"/>
        </w:rPr>
        <w:t xml:space="preserve">. </w:t>
      </w:r>
      <w:r w:rsidR="006756A0" w:rsidRPr="00A27342">
        <w:rPr>
          <w:rFonts w:ascii="Verdana" w:hAnsi="Verdana"/>
          <w:lang w:eastAsia="en-GB"/>
        </w:rPr>
        <w:t>None of the above breaches were considered as reportable breaches under the UK GDPR.</w:t>
      </w:r>
    </w:p>
    <w:p w14:paraId="489B9779" w14:textId="77777777" w:rsidR="00242B33" w:rsidRDefault="00242B33" w:rsidP="00BD0BFA">
      <w:pPr>
        <w:shd w:val="clear" w:color="auto" w:fill="FFFFFF"/>
        <w:rPr>
          <w:rFonts w:ascii="Verdana" w:hAnsi="Verdana" w:cs="Arial"/>
          <w:b/>
          <w:u w:val="single"/>
        </w:rPr>
      </w:pPr>
    </w:p>
    <w:p w14:paraId="0350404E" w14:textId="6FA2837F" w:rsidR="00BD0BFA" w:rsidRDefault="006756A0" w:rsidP="00BD0BFA">
      <w:pPr>
        <w:shd w:val="clear" w:color="auto" w:fill="FFFFFF"/>
        <w:rPr>
          <w:rFonts w:ascii="Verdana" w:hAnsi="Verdana" w:cs="Arial"/>
          <w:b/>
          <w:u w:val="single"/>
        </w:rPr>
      </w:pPr>
      <w:r>
        <w:rPr>
          <w:rFonts w:ascii="Verdana" w:hAnsi="Verdana" w:cs="Arial"/>
          <w:b/>
          <w:u w:val="single"/>
        </w:rPr>
        <w:t xml:space="preserve">4. </w:t>
      </w:r>
      <w:r w:rsidR="00BD0BFA" w:rsidRPr="00D02C16">
        <w:rPr>
          <w:rFonts w:ascii="Verdana" w:hAnsi="Verdana" w:cs="Arial"/>
          <w:b/>
          <w:u w:val="single"/>
        </w:rPr>
        <w:t>Records Management</w:t>
      </w:r>
    </w:p>
    <w:p w14:paraId="7F293D1F" w14:textId="642795DE" w:rsidR="008055C7" w:rsidRDefault="008055C7" w:rsidP="00BD0BFA">
      <w:pPr>
        <w:rPr>
          <w:rFonts w:ascii="Verdana" w:hAnsi="Verdana" w:cs="Arial"/>
        </w:rPr>
      </w:pPr>
      <w:r>
        <w:rPr>
          <w:rFonts w:ascii="Verdana" w:hAnsi="Verdana" w:cs="Arial"/>
        </w:rPr>
        <w:t xml:space="preserve">The OPCC is committed to operating in an open and transparent manner. </w:t>
      </w:r>
      <w:r w:rsidR="00054392">
        <w:rPr>
          <w:rFonts w:ascii="Verdana" w:hAnsi="Verdana" w:cs="Arial"/>
        </w:rPr>
        <w:t>To</w:t>
      </w:r>
      <w:r>
        <w:rPr>
          <w:rFonts w:ascii="Verdana" w:hAnsi="Verdana" w:cs="Arial"/>
        </w:rPr>
        <w:t xml:space="preserve"> comply with the Freedom of Information Act the OPCC must ensure that its records meet the standards necessary to deal effectively with FOI requests.</w:t>
      </w:r>
    </w:p>
    <w:p w14:paraId="321937E6" w14:textId="67E1F231" w:rsidR="008055C7" w:rsidRDefault="008055C7" w:rsidP="00BD0BFA">
      <w:pPr>
        <w:rPr>
          <w:rFonts w:ascii="Verdana" w:hAnsi="Verdana" w:cs="Arial"/>
        </w:rPr>
      </w:pPr>
      <w:r>
        <w:rPr>
          <w:rFonts w:ascii="Verdana" w:hAnsi="Verdana" w:cs="Arial"/>
        </w:rPr>
        <w:t xml:space="preserve">The OPCC’s retention and disposal policy </w:t>
      </w:r>
      <w:r w:rsidR="006756A0">
        <w:rPr>
          <w:rFonts w:ascii="Verdana" w:hAnsi="Verdana" w:cs="Arial"/>
        </w:rPr>
        <w:t xml:space="preserve">is </w:t>
      </w:r>
      <w:r>
        <w:rPr>
          <w:rFonts w:ascii="Verdana" w:hAnsi="Verdana" w:cs="Arial"/>
        </w:rPr>
        <w:t xml:space="preserve">reviewed </w:t>
      </w:r>
      <w:r w:rsidR="006756A0">
        <w:rPr>
          <w:rFonts w:ascii="Verdana" w:hAnsi="Verdana" w:cs="Arial"/>
        </w:rPr>
        <w:t>annually to ensure that it meets requirement.</w:t>
      </w:r>
    </w:p>
    <w:p w14:paraId="3CBEE37A" w14:textId="517BB6CE" w:rsidR="002A1F23" w:rsidRDefault="002A1F23" w:rsidP="00BD0BFA">
      <w:pPr>
        <w:rPr>
          <w:rFonts w:ascii="Verdana" w:hAnsi="Verdana" w:cs="Arial"/>
        </w:rPr>
      </w:pPr>
      <w:r>
        <w:rPr>
          <w:rFonts w:ascii="Verdana" w:hAnsi="Verdana" w:cs="Arial"/>
        </w:rPr>
        <w:t xml:space="preserve">With the roll out of Microsoft 365 across the office and the </w:t>
      </w:r>
      <w:r w:rsidR="006B5AC6">
        <w:rPr>
          <w:rFonts w:ascii="Verdana" w:hAnsi="Verdana" w:cs="Arial"/>
        </w:rPr>
        <w:t xml:space="preserve">additional functionality of the Teams package staff are </w:t>
      </w:r>
      <w:r w:rsidR="00C75ACB">
        <w:rPr>
          <w:rFonts w:ascii="Verdana" w:hAnsi="Verdana" w:cs="Arial"/>
        </w:rPr>
        <w:t>saving more documentation on Teams that requires additional training and support on a set of rules for document management. This will form part of the lunchtime learning schedule during 2023-24.</w:t>
      </w:r>
    </w:p>
    <w:p w14:paraId="010A28FC" w14:textId="23BB4A4C" w:rsidR="006756A0" w:rsidRDefault="006756A0" w:rsidP="006756A0">
      <w:pPr>
        <w:rPr>
          <w:rFonts w:ascii="Verdana" w:hAnsi="Verdana"/>
          <w:lang w:eastAsia="en-GB"/>
        </w:rPr>
      </w:pPr>
      <w:r>
        <w:rPr>
          <w:rFonts w:ascii="Verdana" w:hAnsi="Verdana"/>
          <w:lang w:eastAsia="en-GB"/>
        </w:rPr>
        <w:t xml:space="preserve">Audits and inspections to protect our manual and electronic information will be introduced in the </w:t>
      </w:r>
      <w:r w:rsidR="004A217B">
        <w:rPr>
          <w:rFonts w:ascii="Verdana" w:hAnsi="Verdana"/>
          <w:lang w:eastAsia="en-GB"/>
        </w:rPr>
        <w:t xml:space="preserve">next financial year </w:t>
      </w:r>
      <w:r w:rsidR="009A2440">
        <w:rPr>
          <w:rFonts w:ascii="Verdana" w:hAnsi="Verdana"/>
          <w:lang w:eastAsia="en-GB"/>
        </w:rPr>
        <w:t>to ensure we are taking appropriate measures to protect all the info</w:t>
      </w:r>
      <w:r w:rsidR="004D07F5">
        <w:rPr>
          <w:rFonts w:ascii="Verdana" w:hAnsi="Verdana"/>
          <w:lang w:eastAsia="en-GB"/>
        </w:rPr>
        <w:t>rmation processed by our office.</w:t>
      </w:r>
    </w:p>
    <w:p w14:paraId="327F9251" w14:textId="2F4397DD" w:rsidR="00DA2CC8" w:rsidRDefault="00F6593B" w:rsidP="00720E74">
      <w:pPr>
        <w:rPr>
          <w:rFonts w:ascii="Verdana" w:hAnsi="Verdana"/>
          <w:lang w:eastAsia="en-GB"/>
        </w:rPr>
      </w:pPr>
      <w:r>
        <w:rPr>
          <w:rFonts w:ascii="Verdana" w:hAnsi="Verdana"/>
          <w:lang w:eastAsia="en-GB"/>
        </w:rPr>
        <w:t xml:space="preserve">The </w:t>
      </w:r>
      <w:proofErr w:type="gramStart"/>
      <w:r w:rsidR="00767214">
        <w:rPr>
          <w:rFonts w:ascii="Verdana" w:hAnsi="Verdana"/>
          <w:lang w:eastAsia="en-GB"/>
        </w:rPr>
        <w:t xml:space="preserve">Business </w:t>
      </w:r>
      <w:r>
        <w:rPr>
          <w:rFonts w:ascii="Verdana" w:hAnsi="Verdana"/>
          <w:lang w:eastAsia="en-GB"/>
        </w:rPr>
        <w:t xml:space="preserve"> Man</w:t>
      </w:r>
      <w:r w:rsidR="007110BA">
        <w:rPr>
          <w:rFonts w:ascii="Verdana" w:hAnsi="Verdana"/>
          <w:lang w:eastAsia="en-GB"/>
        </w:rPr>
        <w:t>a</w:t>
      </w:r>
      <w:r>
        <w:rPr>
          <w:rFonts w:ascii="Verdana" w:hAnsi="Verdana"/>
          <w:lang w:eastAsia="en-GB"/>
        </w:rPr>
        <w:t>ger</w:t>
      </w:r>
      <w:proofErr w:type="gramEnd"/>
      <w:r>
        <w:rPr>
          <w:rFonts w:ascii="Verdana" w:hAnsi="Verdana"/>
          <w:lang w:eastAsia="en-GB"/>
        </w:rPr>
        <w:t xml:space="preserve"> attends the quarterly Force Information </w:t>
      </w:r>
      <w:r w:rsidR="007110BA">
        <w:rPr>
          <w:rFonts w:ascii="Verdana" w:hAnsi="Verdana"/>
          <w:lang w:eastAsia="en-GB"/>
        </w:rPr>
        <w:t xml:space="preserve">Assurance Board (IAB) </w:t>
      </w:r>
      <w:r w:rsidR="001C5889">
        <w:rPr>
          <w:rFonts w:ascii="Verdana" w:hAnsi="Verdana"/>
          <w:lang w:eastAsia="en-GB"/>
        </w:rPr>
        <w:t>meetings which gives the office the opportunity</w:t>
      </w:r>
      <w:r>
        <w:rPr>
          <w:rFonts w:ascii="Verdana" w:hAnsi="Verdana"/>
          <w:lang w:eastAsia="en-GB"/>
        </w:rPr>
        <w:t xml:space="preserve"> to understand the current issues the </w:t>
      </w:r>
      <w:r w:rsidR="007F22AB">
        <w:rPr>
          <w:rFonts w:ascii="Verdana" w:hAnsi="Verdana"/>
          <w:lang w:eastAsia="en-GB"/>
        </w:rPr>
        <w:t>F</w:t>
      </w:r>
      <w:r>
        <w:rPr>
          <w:rFonts w:ascii="Verdana" w:hAnsi="Verdana"/>
          <w:lang w:eastAsia="en-GB"/>
        </w:rPr>
        <w:t>orce are facing with regards to records management.</w:t>
      </w:r>
    </w:p>
    <w:p w14:paraId="62816ADE" w14:textId="77777777" w:rsidR="00A27342" w:rsidRDefault="00A27342" w:rsidP="00720E74">
      <w:pPr>
        <w:rPr>
          <w:rFonts w:ascii="Verdana" w:hAnsi="Verdana"/>
          <w:lang w:eastAsia="en-GB"/>
        </w:rPr>
      </w:pPr>
    </w:p>
    <w:p w14:paraId="69B2A422" w14:textId="026768B4" w:rsidR="00720E74" w:rsidRDefault="006756A0" w:rsidP="00720E74">
      <w:pPr>
        <w:rPr>
          <w:rFonts w:ascii="Verdana" w:hAnsi="Verdana"/>
          <w:b/>
          <w:u w:val="single"/>
          <w:lang w:eastAsia="en-GB"/>
        </w:rPr>
      </w:pPr>
      <w:r>
        <w:rPr>
          <w:rFonts w:ascii="Verdana" w:hAnsi="Verdana"/>
          <w:b/>
          <w:u w:val="single"/>
          <w:lang w:eastAsia="en-GB"/>
        </w:rPr>
        <w:t xml:space="preserve">5. </w:t>
      </w:r>
      <w:r w:rsidR="00720E74" w:rsidRPr="00720E74">
        <w:rPr>
          <w:rFonts w:ascii="Verdana" w:hAnsi="Verdana"/>
          <w:b/>
          <w:u w:val="single"/>
          <w:lang w:eastAsia="en-GB"/>
        </w:rPr>
        <w:t>Freedom of Information</w:t>
      </w:r>
    </w:p>
    <w:p w14:paraId="5AE9E820" w14:textId="13668D35" w:rsidR="007110BA" w:rsidRDefault="00815611" w:rsidP="00B6159C">
      <w:pPr>
        <w:rPr>
          <w:rFonts w:ascii="Verdana" w:hAnsi="Verdana" w:cs="Arial"/>
          <w:color w:val="000000"/>
          <w:sz w:val="23"/>
          <w:szCs w:val="23"/>
          <w:lang w:val="en"/>
        </w:rPr>
      </w:pPr>
      <w:r>
        <w:rPr>
          <w:rFonts w:ascii="Verdana" w:hAnsi="Verdana" w:cs="Arial"/>
        </w:rPr>
        <w:t>As a corporation sole, the OPCC are</w:t>
      </w:r>
      <w:r w:rsidR="00720E74" w:rsidRPr="00D810BA">
        <w:rPr>
          <w:rFonts w:ascii="Verdana" w:hAnsi="Verdana" w:cs="Arial"/>
        </w:rPr>
        <w:t xml:space="preserve"> subject to and responsible for FOI requests. </w:t>
      </w:r>
      <w:r w:rsidR="007110BA">
        <w:rPr>
          <w:rFonts w:ascii="Verdana" w:hAnsi="Verdana" w:cs="Arial"/>
        </w:rPr>
        <w:t>The FOI Act gives everyone the right to request any recorded information held by a public authority</w:t>
      </w:r>
      <w:r>
        <w:rPr>
          <w:rFonts w:ascii="Verdana" w:hAnsi="Verdana" w:cs="Arial"/>
        </w:rPr>
        <w:t xml:space="preserve">. The right only covers </w:t>
      </w:r>
      <w:r w:rsidR="007110BA">
        <w:rPr>
          <w:rFonts w:ascii="Verdana" w:hAnsi="Verdana" w:cs="Arial"/>
          <w:color w:val="000000"/>
          <w:sz w:val="23"/>
          <w:szCs w:val="23"/>
          <w:lang w:val="en"/>
        </w:rPr>
        <w:t>recorded information which includes information held on computers, in emails and in printed or handwritten documents as well as images, video and audio recordings.</w:t>
      </w:r>
      <w:r>
        <w:rPr>
          <w:rFonts w:ascii="Verdana" w:hAnsi="Verdana" w:cs="Arial"/>
          <w:color w:val="000000"/>
          <w:sz w:val="23"/>
          <w:szCs w:val="23"/>
          <w:lang w:val="en"/>
        </w:rPr>
        <w:t xml:space="preserve"> The OPCC must respond to all such requests within 20 working days.</w:t>
      </w:r>
    </w:p>
    <w:p w14:paraId="5CDC4164" w14:textId="7FE8A3D1" w:rsidR="000F41FD" w:rsidRDefault="00910417" w:rsidP="00B6159C">
      <w:pPr>
        <w:pStyle w:val="ListParagraph"/>
        <w:numPr>
          <w:ilvl w:val="0"/>
          <w:numId w:val="6"/>
        </w:numPr>
        <w:ind w:left="284" w:hanging="284"/>
        <w:rPr>
          <w:rFonts w:ascii="Verdana" w:hAnsi="Verdana"/>
          <w:lang w:eastAsia="en-GB"/>
        </w:rPr>
      </w:pPr>
      <w:r>
        <w:rPr>
          <w:rFonts w:ascii="Verdana" w:hAnsi="Verdana"/>
          <w:lang w:eastAsia="en-GB"/>
        </w:rPr>
        <w:t>75</w:t>
      </w:r>
      <w:r w:rsidRPr="00DF7603">
        <w:rPr>
          <w:rFonts w:ascii="Verdana" w:hAnsi="Verdana"/>
          <w:lang w:eastAsia="en-GB"/>
        </w:rPr>
        <w:t xml:space="preserve"> </w:t>
      </w:r>
      <w:r w:rsidR="00720E74" w:rsidRPr="00DF7603">
        <w:rPr>
          <w:rFonts w:ascii="Verdana" w:hAnsi="Verdana"/>
          <w:lang w:eastAsia="en-GB"/>
        </w:rPr>
        <w:t xml:space="preserve">FOI requests were </w:t>
      </w:r>
      <w:r w:rsidR="006756A0">
        <w:rPr>
          <w:rFonts w:ascii="Verdana" w:hAnsi="Verdana"/>
          <w:lang w:eastAsia="en-GB"/>
        </w:rPr>
        <w:t>received in th</w:t>
      </w:r>
      <w:r w:rsidR="006B33F8">
        <w:rPr>
          <w:rFonts w:ascii="Verdana" w:hAnsi="Verdana"/>
          <w:lang w:eastAsia="en-GB"/>
        </w:rPr>
        <w:t xml:space="preserve">e </w:t>
      </w:r>
      <w:r>
        <w:rPr>
          <w:rFonts w:ascii="Verdana" w:hAnsi="Verdana"/>
          <w:lang w:eastAsia="en-GB"/>
        </w:rPr>
        <w:t>2022</w:t>
      </w:r>
      <w:r w:rsidR="00AC4D4F">
        <w:rPr>
          <w:rFonts w:ascii="Verdana" w:hAnsi="Verdana"/>
          <w:lang w:eastAsia="en-GB"/>
        </w:rPr>
        <w:t>-</w:t>
      </w:r>
      <w:r>
        <w:rPr>
          <w:rFonts w:ascii="Verdana" w:hAnsi="Verdana"/>
          <w:lang w:eastAsia="en-GB"/>
        </w:rPr>
        <w:t xml:space="preserve">23 </w:t>
      </w:r>
      <w:r w:rsidR="006756A0">
        <w:rPr>
          <w:rFonts w:ascii="Verdana" w:hAnsi="Verdana"/>
          <w:lang w:eastAsia="en-GB"/>
        </w:rPr>
        <w:t>financial year, a</w:t>
      </w:r>
      <w:r>
        <w:rPr>
          <w:rFonts w:ascii="Verdana" w:hAnsi="Verdana"/>
          <w:lang w:eastAsia="en-GB"/>
        </w:rPr>
        <w:t>n</w:t>
      </w:r>
      <w:r w:rsidR="006756A0">
        <w:rPr>
          <w:rFonts w:ascii="Verdana" w:hAnsi="Verdana"/>
          <w:lang w:eastAsia="en-GB"/>
        </w:rPr>
        <w:t xml:space="preserve"> </w:t>
      </w:r>
      <w:r w:rsidR="0086430E">
        <w:rPr>
          <w:rFonts w:ascii="Verdana" w:hAnsi="Verdana"/>
          <w:lang w:eastAsia="en-GB"/>
        </w:rPr>
        <w:t xml:space="preserve">increase </w:t>
      </w:r>
      <w:r w:rsidR="006756A0">
        <w:rPr>
          <w:rFonts w:ascii="Verdana" w:hAnsi="Verdana"/>
          <w:lang w:eastAsia="en-GB"/>
        </w:rPr>
        <w:t xml:space="preserve">of </w:t>
      </w:r>
      <w:r w:rsidR="0086430E">
        <w:rPr>
          <w:rFonts w:ascii="Verdana" w:hAnsi="Verdana"/>
          <w:lang w:eastAsia="en-GB"/>
        </w:rPr>
        <w:t xml:space="preserve">34 </w:t>
      </w:r>
      <w:r w:rsidR="006756A0">
        <w:rPr>
          <w:rFonts w:ascii="Verdana" w:hAnsi="Verdana"/>
          <w:lang w:eastAsia="en-GB"/>
        </w:rPr>
        <w:t>from the previous year.</w:t>
      </w:r>
    </w:p>
    <w:p w14:paraId="4D971D0C" w14:textId="77777777" w:rsidR="00A27342" w:rsidRDefault="00A27342" w:rsidP="00B6159C">
      <w:pPr>
        <w:pStyle w:val="ListParagraph"/>
        <w:ind w:left="284" w:hanging="284"/>
        <w:rPr>
          <w:rFonts w:ascii="Verdana" w:hAnsi="Verdana"/>
          <w:lang w:eastAsia="en-GB"/>
        </w:rPr>
      </w:pPr>
    </w:p>
    <w:p w14:paraId="22EEF182" w14:textId="6B3A6805" w:rsidR="00A27342" w:rsidRPr="00945B51" w:rsidRDefault="00B6159C" w:rsidP="00B6159C">
      <w:pPr>
        <w:pStyle w:val="ListParagraph"/>
        <w:ind w:left="284" w:hanging="284"/>
        <w:rPr>
          <w:rFonts w:ascii="Verdana" w:hAnsi="Verdana"/>
          <w:lang w:eastAsia="en-GB"/>
        </w:rPr>
      </w:pPr>
      <w:r>
        <w:rPr>
          <w:rFonts w:ascii="Verdana" w:hAnsi="Verdana"/>
          <w:lang w:eastAsia="en-GB"/>
        </w:rPr>
        <w:t xml:space="preserve">   </w:t>
      </w:r>
      <w:r w:rsidR="00B144AF">
        <w:rPr>
          <w:rFonts w:ascii="Verdana" w:hAnsi="Verdana"/>
          <w:lang w:eastAsia="en-GB"/>
        </w:rPr>
        <w:t xml:space="preserve"> </w:t>
      </w:r>
      <w:r w:rsidR="00EB0067">
        <w:rPr>
          <w:rFonts w:ascii="Verdana" w:hAnsi="Verdana"/>
          <w:lang w:eastAsia="en-GB"/>
        </w:rPr>
        <w:t xml:space="preserve">Only </w:t>
      </w:r>
      <w:r w:rsidR="00162065">
        <w:rPr>
          <w:rFonts w:ascii="Verdana" w:hAnsi="Verdana"/>
          <w:lang w:eastAsia="en-GB"/>
        </w:rPr>
        <w:t xml:space="preserve">25 </w:t>
      </w:r>
      <w:r w:rsidR="00DF7603">
        <w:rPr>
          <w:rFonts w:ascii="Verdana" w:hAnsi="Verdana"/>
          <w:lang w:eastAsia="en-GB"/>
        </w:rPr>
        <w:t>of these were requests in which the OPCC held the inform</w:t>
      </w:r>
      <w:r w:rsidR="00EB0067">
        <w:rPr>
          <w:rFonts w:ascii="Verdana" w:hAnsi="Verdana"/>
          <w:lang w:eastAsia="en-GB"/>
        </w:rPr>
        <w:t>ation requested</w:t>
      </w:r>
      <w:r w:rsidR="007F22AB">
        <w:rPr>
          <w:rFonts w:ascii="Verdana" w:hAnsi="Verdana"/>
          <w:lang w:eastAsia="en-GB"/>
        </w:rPr>
        <w:t>,</w:t>
      </w:r>
      <w:r w:rsidR="00EB0067">
        <w:rPr>
          <w:rFonts w:ascii="Verdana" w:hAnsi="Verdana"/>
          <w:lang w:eastAsia="en-GB"/>
        </w:rPr>
        <w:t xml:space="preserve"> </w:t>
      </w:r>
      <w:r w:rsidR="00B12771">
        <w:rPr>
          <w:rFonts w:ascii="Verdana" w:hAnsi="Verdana"/>
          <w:lang w:eastAsia="en-GB"/>
        </w:rPr>
        <w:t xml:space="preserve">50 </w:t>
      </w:r>
      <w:r w:rsidR="00DF7603">
        <w:rPr>
          <w:rFonts w:ascii="Verdana" w:hAnsi="Verdana"/>
          <w:lang w:eastAsia="en-GB"/>
        </w:rPr>
        <w:t xml:space="preserve">were forwarded to the </w:t>
      </w:r>
      <w:r w:rsidR="007F22AB">
        <w:rPr>
          <w:rFonts w:ascii="Verdana" w:hAnsi="Verdana"/>
          <w:lang w:eastAsia="en-GB"/>
        </w:rPr>
        <w:t>F</w:t>
      </w:r>
      <w:r w:rsidR="00DF7603">
        <w:rPr>
          <w:rFonts w:ascii="Verdana" w:hAnsi="Verdana"/>
          <w:lang w:eastAsia="en-GB"/>
        </w:rPr>
        <w:t>orce with the requestor’s permission as they may or may not have held the information.</w:t>
      </w:r>
    </w:p>
    <w:p w14:paraId="3930DF2F" w14:textId="77777777" w:rsidR="00A27342" w:rsidRDefault="00A27342" w:rsidP="00A27342">
      <w:pPr>
        <w:pStyle w:val="ListParagraph"/>
        <w:rPr>
          <w:rFonts w:ascii="Verdana" w:hAnsi="Verdana"/>
          <w:lang w:eastAsia="en-GB"/>
        </w:rPr>
      </w:pPr>
    </w:p>
    <w:p w14:paraId="102EA017" w14:textId="73CF893A" w:rsidR="00DF7603" w:rsidRDefault="007F22AB" w:rsidP="00B144AF">
      <w:pPr>
        <w:pStyle w:val="ListParagraph"/>
        <w:numPr>
          <w:ilvl w:val="0"/>
          <w:numId w:val="6"/>
        </w:numPr>
        <w:ind w:left="284" w:hanging="284"/>
        <w:rPr>
          <w:rFonts w:ascii="Verdana" w:hAnsi="Verdana"/>
          <w:lang w:eastAsia="en-GB"/>
        </w:rPr>
      </w:pPr>
      <w:r>
        <w:rPr>
          <w:rFonts w:ascii="Verdana" w:hAnsi="Verdana"/>
          <w:lang w:eastAsia="en-GB"/>
        </w:rPr>
        <w:t xml:space="preserve">All </w:t>
      </w:r>
      <w:r w:rsidR="00DF7603">
        <w:rPr>
          <w:rFonts w:ascii="Verdana" w:hAnsi="Verdana"/>
          <w:lang w:eastAsia="en-GB"/>
        </w:rPr>
        <w:t>requests</w:t>
      </w:r>
      <w:r>
        <w:rPr>
          <w:rFonts w:ascii="Verdana" w:hAnsi="Verdana"/>
          <w:lang w:eastAsia="en-GB"/>
        </w:rPr>
        <w:t xml:space="preserve"> made to the</w:t>
      </w:r>
      <w:r w:rsidR="00DF7603">
        <w:rPr>
          <w:rFonts w:ascii="Verdana" w:hAnsi="Verdana"/>
          <w:lang w:eastAsia="en-GB"/>
        </w:rPr>
        <w:t xml:space="preserve"> </w:t>
      </w:r>
      <w:r>
        <w:rPr>
          <w:rFonts w:ascii="Verdana" w:hAnsi="Verdana"/>
          <w:lang w:eastAsia="en-GB"/>
        </w:rPr>
        <w:t xml:space="preserve">OPCC </w:t>
      </w:r>
      <w:r w:rsidR="00DF7603">
        <w:rPr>
          <w:rFonts w:ascii="Verdana" w:hAnsi="Verdana"/>
          <w:lang w:eastAsia="en-GB"/>
        </w:rPr>
        <w:t xml:space="preserve">were </w:t>
      </w:r>
      <w:r>
        <w:rPr>
          <w:rFonts w:ascii="Verdana" w:hAnsi="Verdana"/>
          <w:lang w:eastAsia="en-GB"/>
        </w:rPr>
        <w:t xml:space="preserve">responded to within </w:t>
      </w:r>
      <w:r w:rsidR="00DF7603">
        <w:rPr>
          <w:rFonts w:ascii="Verdana" w:hAnsi="Verdana"/>
          <w:lang w:eastAsia="en-GB"/>
        </w:rPr>
        <w:t>the regulatory timeframe</w:t>
      </w:r>
      <w:r>
        <w:rPr>
          <w:rFonts w:ascii="Verdana" w:hAnsi="Verdana"/>
          <w:lang w:eastAsia="en-GB"/>
        </w:rPr>
        <w:t>.</w:t>
      </w:r>
      <w:r w:rsidR="00DF7603">
        <w:rPr>
          <w:rFonts w:ascii="Verdana" w:hAnsi="Verdana"/>
          <w:lang w:eastAsia="en-GB"/>
        </w:rPr>
        <w:t xml:space="preserve">  </w:t>
      </w:r>
    </w:p>
    <w:p w14:paraId="563A2985" w14:textId="77777777" w:rsidR="00A27342" w:rsidRDefault="00A27342" w:rsidP="00B144AF">
      <w:pPr>
        <w:pStyle w:val="ListParagraph"/>
        <w:ind w:left="284" w:hanging="284"/>
        <w:rPr>
          <w:rFonts w:ascii="Verdana" w:hAnsi="Verdana"/>
          <w:lang w:eastAsia="en-GB"/>
        </w:rPr>
      </w:pPr>
    </w:p>
    <w:p w14:paraId="4A6E1148" w14:textId="77979B1D" w:rsidR="00DF7603" w:rsidRDefault="00436529" w:rsidP="00B144AF">
      <w:pPr>
        <w:pStyle w:val="ListParagraph"/>
        <w:numPr>
          <w:ilvl w:val="0"/>
          <w:numId w:val="6"/>
        </w:numPr>
        <w:ind w:left="284" w:hanging="284"/>
        <w:rPr>
          <w:rFonts w:ascii="Verdana" w:hAnsi="Verdana"/>
        </w:rPr>
      </w:pPr>
      <w:r w:rsidRPr="00896653">
        <w:rPr>
          <w:rFonts w:ascii="Verdana" w:hAnsi="Verdana"/>
          <w:lang w:eastAsia="en-GB"/>
        </w:rPr>
        <w:t>The OPCC has visibility of the Force’s FOI requests to understand the themes of requests being made. The subject matter of FOI requests submitted to the Force vary and can be influenced by topics of general interest in the press/media and of interest or concern to the public.</w:t>
      </w:r>
      <w:r w:rsidRPr="002C3C39">
        <w:rPr>
          <w:rStyle w:val="Strong"/>
        </w:rPr>
        <w:t xml:space="preserve"> </w:t>
      </w:r>
      <w:r w:rsidR="003B366C">
        <w:rPr>
          <w:rFonts w:ascii="Verdana" w:hAnsi="Verdana"/>
        </w:rPr>
        <w:t xml:space="preserve">The </w:t>
      </w:r>
      <w:r w:rsidR="00EB0067">
        <w:rPr>
          <w:rFonts w:ascii="Verdana" w:hAnsi="Verdana"/>
        </w:rPr>
        <w:t>Force receiv</w:t>
      </w:r>
      <w:r w:rsidR="006B33F8">
        <w:rPr>
          <w:rFonts w:ascii="Verdana" w:hAnsi="Verdana"/>
        </w:rPr>
        <w:t>ed</w:t>
      </w:r>
      <w:r w:rsidR="00EB0067">
        <w:rPr>
          <w:rFonts w:ascii="Verdana" w:hAnsi="Verdana"/>
        </w:rPr>
        <w:t xml:space="preserve"> </w:t>
      </w:r>
      <w:r w:rsidR="005C0F42">
        <w:rPr>
          <w:rFonts w:ascii="Verdana" w:hAnsi="Verdana"/>
        </w:rPr>
        <w:t xml:space="preserve">1075 </w:t>
      </w:r>
      <w:r w:rsidR="006B33F8">
        <w:rPr>
          <w:rFonts w:ascii="Verdana" w:hAnsi="Verdana"/>
        </w:rPr>
        <w:t xml:space="preserve">FOI requests during </w:t>
      </w:r>
      <w:r w:rsidR="0001328D">
        <w:rPr>
          <w:rFonts w:ascii="Verdana" w:hAnsi="Verdana"/>
        </w:rPr>
        <w:t>2022</w:t>
      </w:r>
      <w:r w:rsidR="00AC4D4F">
        <w:rPr>
          <w:rFonts w:ascii="Verdana" w:hAnsi="Verdana"/>
        </w:rPr>
        <w:t>-23</w:t>
      </w:r>
      <w:r w:rsidR="004449FE">
        <w:rPr>
          <w:rFonts w:ascii="Verdana" w:hAnsi="Verdana"/>
        </w:rPr>
        <w:t xml:space="preserve">, </w:t>
      </w:r>
      <w:r w:rsidR="00172019">
        <w:rPr>
          <w:rFonts w:ascii="Verdana" w:hAnsi="Verdana"/>
        </w:rPr>
        <w:t xml:space="preserve">a decrease of </w:t>
      </w:r>
      <w:r w:rsidR="004B0B52">
        <w:rPr>
          <w:rFonts w:ascii="Verdana" w:hAnsi="Verdana"/>
        </w:rPr>
        <w:t>130 from the previous year</w:t>
      </w:r>
      <w:r w:rsidR="009614B1">
        <w:rPr>
          <w:rFonts w:ascii="Verdana" w:hAnsi="Verdana"/>
        </w:rPr>
        <w:t>.</w:t>
      </w:r>
      <w:r w:rsidR="004B0B52">
        <w:rPr>
          <w:rFonts w:ascii="Verdana" w:hAnsi="Verdana"/>
        </w:rPr>
        <w:t xml:space="preserve"> </w:t>
      </w:r>
      <w:r w:rsidR="009614B1">
        <w:rPr>
          <w:rFonts w:ascii="Verdana" w:hAnsi="Verdana"/>
        </w:rPr>
        <w:t>H</w:t>
      </w:r>
      <w:r w:rsidR="004B0B52">
        <w:rPr>
          <w:rFonts w:ascii="Verdana" w:hAnsi="Verdana"/>
        </w:rPr>
        <w:t xml:space="preserve">owever, during the latter months of the period there was a significant increase in requests </w:t>
      </w:r>
      <w:r w:rsidR="00896653">
        <w:rPr>
          <w:rFonts w:ascii="Verdana" w:hAnsi="Verdana"/>
        </w:rPr>
        <w:t xml:space="preserve">and </w:t>
      </w:r>
      <w:r w:rsidR="009614B1">
        <w:rPr>
          <w:rFonts w:ascii="Verdana" w:hAnsi="Verdana"/>
        </w:rPr>
        <w:t>there were issues in relation to the timeliness of responses provided. T</w:t>
      </w:r>
      <w:r w:rsidR="00896653">
        <w:rPr>
          <w:rFonts w:ascii="Verdana" w:hAnsi="Verdana"/>
        </w:rPr>
        <w:t>his is an area the OPCC will be closely monitoring during 2023-2024.</w:t>
      </w:r>
    </w:p>
    <w:p w14:paraId="3A49AF9B" w14:textId="77777777" w:rsidR="00214BD1" w:rsidRPr="00A27342" w:rsidRDefault="00214BD1" w:rsidP="00A27342">
      <w:pPr>
        <w:pStyle w:val="ListParagraph"/>
        <w:rPr>
          <w:rFonts w:ascii="Verdana" w:hAnsi="Verdana"/>
        </w:rPr>
      </w:pPr>
    </w:p>
    <w:p w14:paraId="4433B9C6" w14:textId="2E4C99FD" w:rsidR="006E3793" w:rsidRPr="006E3793" w:rsidRDefault="00A96C73" w:rsidP="006E3793">
      <w:pPr>
        <w:rPr>
          <w:rFonts w:ascii="Verdana" w:hAnsi="Verdana"/>
          <w:b/>
          <w:u w:val="single"/>
          <w:lang w:eastAsia="en-GB"/>
        </w:rPr>
      </w:pPr>
      <w:r>
        <w:rPr>
          <w:rFonts w:ascii="Verdana" w:hAnsi="Verdana"/>
          <w:b/>
          <w:u w:val="single"/>
          <w:lang w:eastAsia="en-GB"/>
        </w:rPr>
        <w:t xml:space="preserve">6. </w:t>
      </w:r>
      <w:r w:rsidR="006E3793" w:rsidRPr="006E3793">
        <w:rPr>
          <w:rFonts w:ascii="Verdana" w:hAnsi="Verdana"/>
          <w:b/>
          <w:u w:val="single"/>
          <w:lang w:eastAsia="en-GB"/>
        </w:rPr>
        <w:t>Subject Access</w:t>
      </w:r>
    </w:p>
    <w:p w14:paraId="427EB9BA" w14:textId="2EB2F430" w:rsidR="003B366C" w:rsidRPr="003B366C" w:rsidRDefault="003B366C" w:rsidP="00B144AF">
      <w:pPr>
        <w:shd w:val="clear" w:color="auto" w:fill="FFFFFF"/>
        <w:rPr>
          <w:rFonts w:ascii="Verdana" w:eastAsia="Times New Roman" w:hAnsi="Verdana" w:cs="Arial"/>
          <w:color w:val="000000"/>
          <w:sz w:val="23"/>
          <w:szCs w:val="23"/>
          <w:lang w:val="en" w:eastAsia="en-GB"/>
        </w:rPr>
      </w:pPr>
      <w:r>
        <w:rPr>
          <w:rFonts w:ascii="Verdana" w:hAnsi="Verdana" w:cs="Arial"/>
        </w:rPr>
        <w:t xml:space="preserve">The FOI Act also gives everyone the right to </w:t>
      </w:r>
      <w:r w:rsidRPr="003B366C">
        <w:rPr>
          <w:rFonts w:ascii="Verdana" w:eastAsia="Times New Roman" w:hAnsi="Verdana" w:cs="Arial"/>
          <w:color w:val="000000"/>
          <w:sz w:val="23"/>
          <w:szCs w:val="23"/>
          <w:lang w:val="en" w:eastAsia="en-GB"/>
        </w:rPr>
        <w:t xml:space="preserve">ask an </w:t>
      </w:r>
      <w:proofErr w:type="spellStart"/>
      <w:r w:rsidRPr="003B366C">
        <w:rPr>
          <w:rFonts w:ascii="Verdana" w:eastAsia="Times New Roman" w:hAnsi="Verdana" w:cs="Arial"/>
          <w:color w:val="000000"/>
          <w:sz w:val="23"/>
          <w:szCs w:val="23"/>
          <w:lang w:val="en" w:eastAsia="en-GB"/>
        </w:rPr>
        <w:t>organisation</w:t>
      </w:r>
      <w:proofErr w:type="spellEnd"/>
      <w:r w:rsidRPr="003B366C">
        <w:rPr>
          <w:rFonts w:ascii="Verdana" w:eastAsia="Times New Roman" w:hAnsi="Verdana" w:cs="Arial"/>
          <w:color w:val="000000"/>
          <w:sz w:val="23"/>
          <w:szCs w:val="23"/>
          <w:lang w:val="en" w:eastAsia="en-GB"/>
        </w:rPr>
        <w:t xml:space="preserve"> </w:t>
      </w:r>
      <w:proofErr w:type="gramStart"/>
      <w:r w:rsidRPr="003B366C">
        <w:rPr>
          <w:rFonts w:ascii="Verdana" w:eastAsia="Times New Roman" w:hAnsi="Verdana" w:cs="Arial"/>
          <w:color w:val="000000"/>
          <w:sz w:val="23"/>
          <w:szCs w:val="23"/>
          <w:lang w:val="en" w:eastAsia="en-GB"/>
        </w:rPr>
        <w:t>whether or no</w:t>
      </w:r>
      <w:r>
        <w:rPr>
          <w:rFonts w:ascii="Verdana" w:eastAsia="Times New Roman" w:hAnsi="Verdana" w:cs="Arial"/>
          <w:color w:val="000000"/>
          <w:sz w:val="23"/>
          <w:szCs w:val="23"/>
          <w:lang w:val="en" w:eastAsia="en-GB"/>
        </w:rPr>
        <w:t>t</w:t>
      </w:r>
      <w:proofErr w:type="gramEnd"/>
      <w:r>
        <w:rPr>
          <w:rFonts w:ascii="Verdana" w:eastAsia="Times New Roman" w:hAnsi="Verdana" w:cs="Arial"/>
          <w:color w:val="000000"/>
          <w:sz w:val="23"/>
          <w:szCs w:val="23"/>
          <w:lang w:val="en" w:eastAsia="en-GB"/>
        </w:rPr>
        <w:t xml:space="preserve"> they are using or storing their</w:t>
      </w:r>
      <w:r w:rsidRPr="003B366C">
        <w:rPr>
          <w:rFonts w:ascii="Verdana" w:eastAsia="Times New Roman" w:hAnsi="Verdana" w:cs="Arial"/>
          <w:color w:val="000000"/>
          <w:sz w:val="23"/>
          <w:szCs w:val="23"/>
          <w:lang w:val="en" w:eastAsia="en-GB"/>
        </w:rPr>
        <w:t xml:space="preserve"> personal information. </w:t>
      </w:r>
      <w:r>
        <w:rPr>
          <w:rFonts w:ascii="Verdana" w:eastAsia="Times New Roman" w:hAnsi="Verdana" w:cs="Arial"/>
          <w:color w:val="000000"/>
          <w:sz w:val="23"/>
          <w:szCs w:val="23"/>
          <w:lang w:val="en" w:eastAsia="en-GB"/>
        </w:rPr>
        <w:t>A person can also ask for copies of their</w:t>
      </w:r>
      <w:r w:rsidRPr="003B366C">
        <w:rPr>
          <w:rFonts w:ascii="Verdana" w:eastAsia="Times New Roman" w:hAnsi="Verdana" w:cs="Arial"/>
          <w:color w:val="000000"/>
          <w:sz w:val="23"/>
          <w:szCs w:val="23"/>
          <w:lang w:val="en" w:eastAsia="en-GB"/>
        </w:rPr>
        <w:t xml:space="preserve"> personal information, verbally or in writing.</w:t>
      </w:r>
    </w:p>
    <w:p w14:paraId="12A7F1EF" w14:textId="6F238913" w:rsidR="003B366C" w:rsidRPr="003B366C" w:rsidRDefault="003B366C" w:rsidP="00B144AF">
      <w:pPr>
        <w:rPr>
          <w:rFonts w:ascii="Verdana" w:eastAsia="Times New Roman" w:hAnsi="Verdana" w:cs="Arial"/>
          <w:color w:val="000000"/>
          <w:sz w:val="23"/>
          <w:szCs w:val="23"/>
          <w:lang w:val="en" w:eastAsia="en-GB"/>
        </w:rPr>
      </w:pPr>
      <w:r w:rsidRPr="003B366C">
        <w:rPr>
          <w:rFonts w:ascii="Verdana" w:eastAsia="Times New Roman" w:hAnsi="Verdana" w:cs="Arial"/>
          <w:color w:val="000000"/>
          <w:sz w:val="23"/>
          <w:szCs w:val="23"/>
          <w:lang w:val="en" w:eastAsia="en-GB"/>
        </w:rPr>
        <w:t>This is called the right of access and is commonly known as making a subject access request or SAR.</w:t>
      </w:r>
      <w:r>
        <w:rPr>
          <w:rFonts w:ascii="Verdana" w:eastAsia="Times New Roman" w:hAnsi="Verdana" w:cs="Arial"/>
          <w:color w:val="000000"/>
          <w:sz w:val="23"/>
          <w:szCs w:val="23"/>
          <w:lang w:val="en" w:eastAsia="en-GB"/>
        </w:rPr>
        <w:t xml:space="preserve"> The OPCC are legislated to respond to any such requests within one month.</w:t>
      </w:r>
    </w:p>
    <w:p w14:paraId="0F6AAD36" w14:textId="50404E46" w:rsidR="00D02C16" w:rsidRDefault="006E3793" w:rsidP="00B144AF">
      <w:pPr>
        <w:shd w:val="clear" w:color="auto" w:fill="FFFFFF"/>
        <w:rPr>
          <w:rFonts w:ascii="Verdana" w:hAnsi="Verdana" w:cs="Arial"/>
        </w:rPr>
      </w:pPr>
      <w:r>
        <w:rPr>
          <w:rFonts w:ascii="Verdana" w:hAnsi="Verdana" w:cs="Arial"/>
        </w:rPr>
        <w:lastRenderedPageBreak/>
        <w:t>Subject Access requests are the sole responsibility of the OPCC to respond.</w:t>
      </w:r>
    </w:p>
    <w:p w14:paraId="76B6C456" w14:textId="2281417E" w:rsidR="000A1844" w:rsidRPr="00072A4B" w:rsidRDefault="00F10E48" w:rsidP="00B144AF">
      <w:pPr>
        <w:pStyle w:val="ListParagraph"/>
        <w:numPr>
          <w:ilvl w:val="0"/>
          <w:numId w:val="7"/>
        </w:numPr>
        <w:shd w:val="clear" w:color="auto" w:fill="FFFFFF"/>
        <w:ind w:left="284" w:hanging="284"/>
        <w:rPr>
          <w:rFonts w:ascii="Verdana" w:hAnsi="Verdana" w:cs="Arial"/>
          <w:b/>
          <w:u w:val="single"/>
        </w:rPr>
      </w:pPr>
      <w:r>
        <w:rPr>
          <w:rFonts w:ascii="Verdana" w:hAnsi="Verdana" w:cs="Arial"/>
        </w:rPr>
        <w:t>18</w:t>
      </w:r>
      <w:r w:rsidRPr="00FF1188">
        <w:rPr>
          <w:rFonts w:ascii="Verdana" w:hAnsi="Verdana" w:cs="Arial"/>
        </w:rPr>
        <w:t xml:space="preserve"> </w:t>
      </w:r>
      <w:r w:rsidR="006E3793" w:rsidRPr="00FF1188">
        <w:rPr>
          <w:rFonts w:ascii="Verdana" w:hAnsi="Verdana" w:cs="Arial"/>
        </w:rPr>
        <w:t xml:space="preserve">SAR’s have been received this financial year; </w:t>
      </w:r>
      <w:proofErr w:type="gramStart"/>
      <w:r w:rsidR="006E3793" w:rsidRPr="00FF1188">
        <w:rPr>
          <w:rFonts w:ascii="Verdana" w:hAnsi="Verdana" w:cs="Arial"/>
        </w:rPr>
        <w:t>however</w:t>
      </w:r>
      <w:proofErr w:type="gramEnd"/>
      <w:r w:rsidR="006E3793" w:rsidRPr="00FF1188">
        <w:rPr>
          <w:rFonts w:ascii="Verdana" w:hAnsi="Verdana" w:cs="Arial"/>
        </w:rPr>
        <w:t xml:space="preserve"> the OPCC </w:t>
      </w:r>
      <w:r w:rsidR="00FF1188" w:rsidRPr="00FF1188">
        <w:rPr>
          <w:rFonts w:ascii="Verdana" w:hAnsi="Verdana" w:cs="Arial"/>
        </w:rPr>
        <w:t>did not hold</w:t>
      </w:r>
      <w:r w:rsidR="006E3793" w:rsidRPr="00FF1188">
        <w:rPr>
          <w:rFonts w:ascii="Verdana" w:hAnsi="Verdana" w:cs="Arial"/>
        </w:rPr>
        <w:t xml:space="preserve"> information on </w:t>
      </w:r>
      <w:r>
        <w:rPr>
          <w:rFonts w:ascii="Verdana" w:hAnsi="Verdana" w:cs="Arial"/>
        </w:rPr>
        <w:t xml:space="preserve">17 </w:t>
      </w:r>
      <w:r w:rsidR="00DE3AC6">
        <w:rPr>
          <w:rFonts w:ascii="Verdana" w:hAnsi="Verdana" w:cs="Arial"/>
        </w:rPr>
        <w:t>of</w:t>
      </w:r>
      <w:r w:rsidR="00FF1188" w:rsidRPr="00FF1188">
        <w:rPr>
          <w:rFonts w:ascii="Verdana" w:hAnsi="Verdana" w:cs="Arial"/>
        </w:rPr>
        <w:t xml:space="preserve"> </w:t>
      </w:r>
      <w:r w:rsidR="006E3793" w:rsidRPr="00FF1188">
        <w:rPr>
          <w:rFonts w:ascii="Verdana" w:hAnsi="Verdana" w:cs="Arial"/>
        </w:rPr>
        <w:t>the subjects</w:t>
      </w:r>
      <w:r w:rsidR="00FF1188" w:rsidRPr="00FF1188">
        <w:rPr>
          <w:rFonts w:ascii="Verdana" w:hAnsi="Verdana" w:cs="Arial"/>
        </w:rPr>
        <w:t xml:space="preserve">. They were all sent details informing them how to make their request to the Force if this is what they wished to do. The requests were </w:t>
      </w:r>
      <w:proofErr w:type="gramStart"/>
      <w:r w:rsidR="00FF1188" w:rsidRPr="00FF1188">
        <w:rPr>
          <w:rFonts w:ascii="Verdana" w:hAnsi="Verdana" w:cs="Arial"/>
        </w:rPr>
        <w:t>all of</w:t>
      </w:r>
      <w:proofErr w:type="gramEnd"/>
      <w:r w:rsidR="00FF1188" w:rsidRPr="00FF1188">
        <w:rPr>
          <w:rFonts w:ascii="Verdana" w:hAnsi="Verdana" w:cs="Arial"/>
        </w:rPr>
        <w:t xml:space="preserve"> a similar theme with people asking for details on cautions they had received, records of incidents etc. </w:t>
      </w:r>
      <w:r w:rsidR="006E3793" w:rsidRPr="00FF1188">
        <w:rPr>
          <w:rFonts w:ascii="Verdana" w:hAnsi="Verdana" w:cs="Arial"/>
        </w:rPr>
        <w:t xml:space="preserve"> </w:t>
      </w:r>
    </w:p>
    <w:p w14:paraId="0BDA1752" w14:textId="4D3695FF" w:rsidR="000C428D" w:rsidRPr="00C04643" w:rsidRDefault="00F10E48" w:rsidP="00B144AF">
      <w:pPr>
        <w:pStyle w:val="ListParagraph"/>
        <w:numPr>
          <w:ilvl w:val="0"/>
          <w:numId w:val="7"/>
        </w:numPr>
        <w:shd w:val="clear" w:color="auto" w:fill="FFFFFF"/>
        <w:ind w:left="284" w:hanging="284"/>
        <w:rPr>
          <w:rFonts w:ascii="Verdana" w:hAnsi="Verdana" w:cs="Arial"/>
          <w:b/>
          <w:u w:val="single"/>
        </w:rPr>
      </w:pPr>
      <w:r>
        <w:rPr>
          <w:rFonts w:ascii="Verdana" w:hAnsi="Verdana" w:cs="Arial"/>
        </w:rPr>
        <w:t xml:space="preserve">1 </w:t>
      </w:r>
      <w:proofErr w:type="gramStart"/>
      <w:r w:rsidR="000C428D">
        <w:rPr>
          <w:rFonts w:ascii="Verdana" w:hAnsi="Verdana" w:cs="Arial"/>
        </w:rPr>
        <w:t>SAR’s</w:t>
      </w:r>
      <w:proofErr w:type="gramEnd"/>
      <w:r w:rsidR="000C428D">
        <w:rPr>
          <w:rFonts w:ascii="Verdana" w:hAnsi="Verdana" w:cs="Arial"/>
        </w:rPr>
        <w:t xml:space="preserve"> </w:t>
      </w:r>
      <w:r>
        <w:rPr>
          <w:rFonts w:ascii="Verdana" w:hAnsi="Verdana" w:cs="Arial"/>
        </w:rPr>
        <w:t xml:space="preserve">was </w:t>
      </w:r>
      <w:r w:rsidR="000C428D">
        <w:rPr>
          <w:rFonts w:ascii="Verdana" w:hAnsi="Verdana" w:cs="Arial"/>
        </w:rPr>
        <w:t xml:space="preserve">completed </w:t>
      </w:r>
      <w:r w:rsidR="009614B1">
        <w:rPr>
          <w:rFonts w:ascii="Verdana" w:hAnsi="Verdana" w:cs="Arial"/>
        </w:rPr>
        <w:t xml:space="preserve">by the OPCC </w:t>
      </w:r>
      <w:r w:rsidR="000C428D">
        <w:rPr>
          <w:rFonts w:ascii="Verdana" w:hAnsi="Verdana" w:cs="Arial"/>
        </w:rPr>
        <w:t xml:space="preserve">within </w:t>
      </w:r>
      <w:r w:rsidR="00FE5A0F">
        <w:rPr>
          <w:rFonts w:ascii="Verdana" w:hAnsi="Verdana" w:cs="Arial"/>
        </w:rPr>
        <w:t>the 1 month deadline</w:t>
      </w:r>
      <w:r>
        <w:rPr>
          <w:rFonts w:ascii="Verdana" w:hAnsi="Verdana" w:cs="Arial"/>
        </w:rPr>
        <w:t xml:space="preserve"> and this was in relation to an enquiry for a copy of an email sent in 2019</w:t>
      </w:r>
    </w:p>
    <w:p w14:paraId="79644407" w14:textId="77777777" w:rsidR="009614B1" w:rsidRPr="00C04643" w:rsidRDefault="009614B1" w:rsidP="00C04643">
      <w:pPr>
        <w:shd w:val="clear" w:color="auto" w:fill="FFFFFF"/>
        <w:rPr>
          <w:rFonts w:ascii="Verdana" w:hAnsi="Verdana" w:cs="Arial"/>
          <w:b/>
          <w:u w:val="single"/>
        </w:rPr>
      </w:pPr>
    </w:p>
    <w:p w14:paraId="543E49B0" w14:textId="1735EA0A" w:rsidR="00A27342" w:rsidRPr="0067337D" w:rsidRDefault="00C851A5" w:rsidP="00C04643">
      <w:pPr>
        <w:pStyle w:val="ListParagraph"/>
        <w:shd w:val="clear" w:color="auto" w:fill="FFFFFF"/>
        <w:ind w:left="0"/>
        <w:rPr>
          <w:rFonts w:ascii="Verdana" w:hAnsi="Verdana" w:cs="Arial"/>
          <w:bCs/>
        </w:rPr>
      </w:pPr>
      <w:r w:rsidRPr="0067337D">
        <w:rPr>
          <w:rFonts w:ascii="Verdana" w:hAnsi="Verdana" w:cs="Arial"/>
          <w:bCs/>
        </w:rPr>
        <w:t>Since</w:t>
      </w:r>
      <w:r w:rsidR="00365E78" w:rsidRPr="0067337D">
        <w:rPr>
          <w:rFonts w:ascii="Verdana" w:hAnsi="Verdana" w:cs="Arial"/>
          <w:bCs/>
        </w:rPr>
        <w:t xml:space="preserve"> </w:t>
      </w:r>
      <w:r w:rsidR="00365E78" w:rsidRPr="0067337D">
        <w:rPr>
          <w:rFonts w:ascii="Verdana" w:hAnsi="Verdana" w:cs="Times New Roman"/>
        </w:rPr>
        <w:t>1</w:t>
      </w:r>
      <w:r w:rsidR="00365E78" w:rsidRPr="0067337D">
        <w:rPr>
          <w:rFonts w:ascii="Verdana" w:hAnsi="Verdana" w:cs="Times New Roman"/>
          <w:vertAlign w:val="superscript"/>
        </w:rPr>
        <w:t>st</w:t>
      </w:r>
      <w:r w:rsidR="00365E78" w:rsidRPr="0067337D">
        <w:rPr>
          <w:rFonts w:ascii="Verdana" w:hAnsi="Verdana" w:cs="Times New Roman"/>
        </w:rPr>
        <w:t xml:space="preserve"> February 2020, if an individual’s complaint was recorded under Schedule 3 of the Police Reform Act 2002 and the individual is unhappy with the outcome of their complaint, they can </w:t>
      </w:r>
      <w:proofErr w:type="gramStart"/>
      <w:r w:rsidR="00365E78" w:rsidRPr="0067337D">
        <w:rPr>
          <w:rFonts w:ascii="Verdana" w:hAnsi="Verdana" w:cs="Times New Roman"/>
        </w:rPr>
        <w:t>submit an application</w:t>
      </w:r>
      <w:proofErr w:type="gramEnd"/>
      <w:r w:rsidR="00365E78" w:rsidRPr="0067337D">
        <w:rPr>
          <w:rFonts w:ascii="Verdana" w:hAnsi="Verdana" w:cs="Times New Roman"/>
        </w:rPr>
        <w:t xml:space="preserve"> for a review to the Relevant Review Body, either the IOPC or the Police and Crime Commissioner</w:t>
      </w:r>
      <w:r w:rsidR="0067337D" w:rsidRPr="0067337D">
        <w:rPr>
          <w:rFonts w:ascii="Verdana" w:hAnsi="Verdana" w:cs="Times New Roman"/>
        </w:rPr>
        <w:t>. The Information Commissioner’s Office felt that this would lead to a large increase in Subject Access Requests to OPCCs, however for Dyfed-Powys this has not been the case.</w:t>
      </w:r>
    </w:p>
    <w:p w14:paraId="5A338093" w14:textId="77777777" w:rsidR="005E5AD6" w:rsidRDefault="005E5AD6" w:rsidP="006E3793">
      <w:pPr>
        <w:shd w:val="clear" w:color="auto" w:fill="FFFFFF"/>
        <w:rPr>
          <w:rFonts w:ascii="Verdana" w:hAnsi="Verdana" w:cs="Arial"/>
          <w:b/>
          <w:u w:val="single"/>
        </w:rPr>
      </w:pPr>
    </w:p>
    <w:p w14:paraId="5C9714BF" w14:textId="5591ECBA" w:rsidR="006E3793" w:rsidRDefault="00A96C73" w:rsidP="006E3793">
      <w:pPr>
        <w:shd w:val="clear" w:color="auto" w:fill="FFFFFF"/>
        <w:rPr>
          <w:rFonts w:ascii="Verdana" w:hAnsi="Verdana" w:cs="Arial"/>
          <w:b/>
          <w:u w:val="single"/>
        </w:rPr>
      </w:pPr>
      <w:r>
        <w:rPr>
          <w:rFonts w:ascii="Verdana" w:hAnsi="Verdana" w:cs="Arial"/>
          <w:b/>
          <w:u w:val="single"/>
        </w:rPr>
        <w:t xml:space="preserve">7. </w:t>
      </w:r>
      <w:r w:rsidR="006E3793" w:rsidRPr="006E3793">
        <w:rPr>
          <w:rFonts w:ascii="Verdana" w:hAnsi="Verdana" w:cs="Arial"/>
          <w:b/>
          <w:u w:val="single"/>
        </w:rPr>
        <w:t>Risk</w:t>
      </w:r>
    </w:p>
    <w:p w14:paraId="603E4705" w14:textId="344960F5" w:rsidR="00FD1E2D" w:rsidRDefault="008A73D1" w:rsidP="00B144AF">
      <w:pPr>
        <w:shd w:val="clear" w:color="auto" w:fill="FFFFFF"/>
        <w:rPr>
          <w:rFonts w:ascii="Verdana" w:hAnsi="Verdana" w:cs="Arial"/>
        </w:rPr>
      </w:pPr>
      <w:r>
        <w:rPr>
          <w:rFonts w:ascii="Verdana" w:hAnsi="Verdana" w:cs="Arial"/>
        </w:rPr>
        <w:t xml:space="preserve">The </w:t>
      </w:r>
      <w:r w:rsidR="0019392A">
        <w:rPr>
          <w:rFonts w:ascii="Verdana" w:hAnsi="Verdana" w:cs="Arial"/>
        </w:rPr>
        <w:t>Business</w:t>
      </w:r>
      <w:r>
        <w:rPr>
          <w:rFonts w:ascii="Verdana" w:hAnsi="Verdana" w:cs="Arial"/>
        </w:rPr>
        <w:t xml:space="preserve"> Manager maintains the OPC</w:t>
      </w:r>
      <w:r w:rsidR="00FD1E2D">
        <w:rPr>
          <w:rFonts w:ascii="Verdana" w:hAnsi="Verdana" w:cs="Arial"/>
        </w:rPr>
        <w:t>C</w:t>
      </w:r>
      <w:r>
        <w:rPr>
          <w:rFonts w:ascii="Verdana" w:hAnsi="Verdana" w:cs="Arial"/>
        </w:rPr>
        <w:t xml:space="preserve"> Corporate Risk </w:t>
      </w:r>
      <w:r w:rsidR="00FD1E2D">
        <w:rPr>
          <w:rFonts w:ascii="Verdana" w:hAnsi="Verdana" w:cs="Arial"/>
        </w:rPr>
        <w:t>R</w:t>
      </w:r>
      <w:r>
        <w:rPr>
          <w:rFonts w:ascii="Verdana" w:hAnsi="Verdana" w:cs="Arial"/>
        </w:rPr>
        <w:t xml:space="preserve">egister and reports on this to both </w:t>
      </w:r>
      <w:r w:rsidR="00FD1E2D">
        <w:rPr>
          <w:rFonts w:ascii="Verdana" w:hAnsi="Verdana" w:cs="Arial"/>
        </w:rPr>
        <w:t>th</w:t>
      </w:r>
      <w:r>
        <w:rPr>
          <w:rFonts w:ascii="Verdana" w:hAnsi="Verdana" w:cs="Arial"/>
        </w:rPr>
        <w:t xml:space="preserve">e Executive team and </w:t>
      </w:r>
      <w:r w:rsidR="00FD1E2D">
        <w:rPr>
          <w:rFonts w:ascii="Verdana" w:hAnsi="Verdana" w:cs="Arial"/>
        </w:rPr>
        <w:t xml:space="preserve">the Joint Audit Committee on a quarterly basis. </w:t>
      </w:r>
    </w:p>
    <w:p w14:paraId="7AC6940D" w14:textId="258FD08B" w:rsidR="00FD1E2D" w:rsidRDefault="000417A6" w:rsidP="00B144AF">
      <w:pPr>
        <w:shd w:val="clear" w:color="auto" w:fill="FFFFFF"/>
        <w:rPr>
          <w:rFonts w:ascii="Verdana" w:hAnsi="Verdana" w:cs="Arial"/>
        </w:rPr>
      </w:pPr>
      <w:r>
        <w:rPr>
          <w:rFonts w:ascii="Verdana" w:hAnsi="Verdana" w:cs="Arial"/>
        </w:rPr>
        <w:t>To ensure the Executive</w:t>
      </w:r>
      <w:r w:rsidR="00983C10">
        <w:rPr>
          <w:rFonts w:ascii="Verdana" w:hAnsi="Verdana" w:cs="Arial"/>
        </w:rPr>
        <w:t xml:space="preserve"> and Senior Management</w:t>
      </w:r>
      <w:r>
        <w:rPr>
          <w:rFonts w:ascii="Verdana" w:hAnsi="Verdana" w:cs="Arial"/>
        </w:rPr>
        <w:t xml:space="preserve"> team have oversight of all risks</w:t>
      </w:r>
      <w:r w:rsidR="001B7D82">
        <w:rPr>
          <w:rFonts w:ascii="Verdana" w:hAnsi="Verdana" w:cs="Arial"/>
        </w:rPr>
        <w:t>,</w:t>
      </w:r>
      <w:r>
        <w:rPr>
          <w:rFonts w:ascii="Verdana" w:hAnsi="Verdana" w:cs="Arial"/>
        </w:rPr>
        <w:t xml:space="preserve"> </w:t>
      </w:r>
      <w:r w:rsidR="001B7D82">
        <w:rPr>
          <w:rFonts w:ascii="Verdana" w:hAnsi="Verdana" w:cs="Arial"/>
        </w:rPr>
        <w:t>r</w:t>
      </w:r>
      <w:r>
        <w:rPr>
          <w:rFonts w:ascii="Verdana" w:hAnsi="Verdana" w:cs="Arial"/>
        </w:rPr>
        <w:t>eports are also produced for the</w:t>
      </w:r>
      <w:r w:rsidR="001B7D82">
        <w:rPr>
          <w:rFonts w:ascii="Verdana" w:hAnsi="Verdana" w:cs="Arial"/>
        </w:rPr>
        <w:t xml:space="preserve">m when </w:t>
      </w:r>
      <w:proofErr w:type="gramStart"/>
      <w:r w:rsidR="001B7D82">
        <w:rPr>
          <w:rFonts w:ascii="Verdana" w:hAnsi="Verdana" w:cs="Arial"/>
        </w:rPr>
        <w:t>necessary</w:t>
      </w:r>
      <w:proofErr w:type="gramEnd"/>
      <w:r w:rsidR="001B7D82">
        <w:rPr>
          <w:rFonts w:ascii="Verdana" w:hAnsi="Verdana" w:cs="Arial"/>
        </w:rPr>
        <w:t xml:space="preserve"> </w:t>
      </w:r>
      <w:r w:rsidR="006B3DDE">
        <w:rPr>
          <w:rFonts w:ascii="Verdana" w:hAnsi="Verdana" w:cs="Arial"/>
        </w:rPr>
        <w:t xml:space="preserve">outside of the quarterly reporting </w:t>
      </w:r>
      <w:r w:rsidR="001B7D82">
        <w:rPr>
          <w:rFonts w:ascii="Verdana" w:hAnsi="Verdana" w:cs="Arial"/>
        </w:rPr>
        <w:t>to highlight any new areas of risk, those for discharge</w:t>
      </w:r>
      <w:r w:rsidR="006B3DDE">
        <w:rPr>
          <w:rFonts w:ascii="Verdana" w:hAnsi="Verdana" w:cs="Arial"/>
        </w:rPr>
        <w:t xml:space="preserve"> and those where the risk has escalated or decreased.</w:t>
      </w:r>
      <w:r>
        <w:rPr>
          <w:rFonts w:ascii="Verdana" w:hAnsi="Verdana" w:cs="Arial"/>
        </w:rPr>
        <w:t xml:space="preserve"> </w:t>
      </w:r>
    </w:p>
    <w:p w14:paraId="3BD9FCE5" w14:textId="37E1BE3E" w:rsidR="003A6F2D" w:rsidRDefault="003A6F2D" w:rsidP="00B144AF">
      <w:pPr>
        <w:shd w:val="clear" w:color="auto" w:fill="FFFFFF"/>
        <w:rPr>
          <w:rFonts w:ascii="Verdana" w:hAnsi="Verdana" w:cs="Arial"/>
        </w:rPr>
      </w:pPr>
      <w:r>
        <w:rPr>
          <w:rFonts w:ascii="Verdana" w:hAnsi="Verdana" w:cs="Arial"/>
        </w:rPr>
        <w:t xml:space="preserve">The </w:t>
      </w:r>
      <w:r w:rsidR="00EB1D20">
        <w:rPr>
          <w:rFonts w:ascii="Verdana" w:hAnsi="Verdana" w:cs="Arial"/>
        </w:rPr>
        <w:t xml:space="preserve">area of risk is one that is under development </w:t>
      </w:r>
      <w:r w:rsidR="00103E65">
        <w:rPr>
          <w:rFonts w:ascii="Verdana" w:hAnsi="Verdana" w:cs="Arial"/>
        </w:rPr>
        <w:t>at the</w:t>
      </w:r>
      <w:r w:rsidR="00EB1D20">
        <w:rPr>
          <w:rFonts w:ascii="Verdana" w:hAnsi="Verdana" w:cs="Arial"/>
        </w:rPr>
        <w:t xml:space="preserve"> OPCC. The format of reporting will soon follow that of the Force in the interests of consistency</w:t>
      </w:r>
      <w:r w:rsidR="00E77EA2">
        <w:rPr>
          <w:rFonts w:ascii="Verdana" w:hAnsi="Verdana" w:cs="Arial"/>
        </w:rPr>
        <w:t xml:space="preserve">. There will be some bespoke training undertaken during 2023-24 that will allow all staff of the OPCC to have a </w:t>
      </w:r>
      <w:r w:rsidR="00103E65">
        <w:rPr>
          <w:rFonts w:ascii="Verdana" w:hAnsi="Verdana" w:cs="Arial"/>
        </w:rPr>
        <w:t>better understanding of risks and issues.</w:t>
      </w:r>
    </w:p>
    <w:p w14:paraId="3DA6C79A" w14:textId="216CFD7E" w:rsidR="00EC6347" w:rsidRDefault="000065D7" w:rsidP="00B144AF">
      <w:pPr>
        <w:shd w:val="clear" w:color="auto" w:fill="FFFFFF"/>
        <w:rPr>
          <w:rFonts w:ascii="Verdana" w:hAnsi="Verdana" w:cs="Arial"/>
        </w:rPr>
      </w:pPr>
      <w:r>
        <w:rPr>
          <w:rFonts w:ascii="Verdana" w:hAnsi="Verdana" w:cs="Arial"/>
        </w:rPr>
        <w:t>Risk will form part of the Policing Board agenda at regular intervals in addition to being considered at the Joint Audit Committee.</w:t>
      </w:r>
    </w:p>
    <w:p w14:paraId="3990C5BB" w14:textId="041CC79E" w:rsidR="00A96C73" w:rsidRPr="00A96C73" w:rsidRDefault="00A96C73" w:rsidP="00B144AF">
      <w:pPr>
        <w:pStyle w:val="ListParagraph"/>
        <w:shd w:val="clear" w:color="auto" w:fill="FFFFFF"/>
        <w:ind w:left="0"/>
        <w:rPr>
          <w:rFonts w:ascii="Verdana" w:hAnsi="Verdana" w:cs="Arial"/>
        </w:rPr>
      </w:pPr>
      <w:r>
        <w:rPr>
          <w:rFonts w:ascii="Verdana" w:hAnsi="Verdana" w:cs="Arial"/>
        </w:rPr>
        <w:t xml:space="preserve">Communications are regularly sent to all staff to inform them of the ongoing risks of security especially in the ‘working from home’ environment, examples </w:t>
      </w:r>
      <w:r>
        <w:rPr>
          <w:rFonts w:ascii="Verdana" w:hAnsi="Verdana" w:cs="Arial"/>
        </w:rPr>
        <w:lastRenderedPageBreak/>
        <w:t xml:space="preserve">being </w:t>
      </w:r>
      <w:r w:rsidR="00F528C0" w:rsidRPr="00F528C0">
        <w:rPr>
          <w:rFonts w:ascii="Verdana" w:hAnsi="Verdana" w:cs="Arial"/>
        </w:rPr>
        <w:t>cyber security - phishing e-mails</w:t>
      </w:r>
      <w:r w:rsidR="00F528C0">
        <w:rPr>
          <w:rFonts w:ascii="Verdana" w:hAnsi="Verdana" w:cs="Arial"/>
        </w:rPr>
        <w:t xml:space="preserve">, </w:t>
      </w:r>
      <w:r w:rsidR="00F528C0" w:rsidRPr="00F528C0">
        <w:rPr>
          <w:rFonts w:ascii="Verdana" w:hAnsi="Verdana" w:cs="Arial"/>
        </w:rPr>
        <w:t>scam e-mails</w:t>
      </w:r>
      <w:r w:rsidR="00185744">
        <w:rPr>
          <w:rFonts w:ascii="Verdana" w:hAnsi="Verdana" w:cs="Arial"/>
        </w:rPr>
        <w:t xml:space="preserve">, </w:t>
      </w:r>
      <w:r w:rsidR="00185744" w:rsidRPr="00185744">
        <w:rPr>
          <w:rFonts w:ascii="Verdana" w:hAnsi="Verdana" w:cs="Arial"/>
        </w:rPr>
        <w:t>social media usage</w:t>
      </w:r>
      <w:r w:rsidR="00F20C2F">
        <w:rPr>
          <w:rFonts w:ascii="Verdana" w:hAnsi="Verdana" w:cs="Arial"/>
        </w:rPr>
        <w:t>, the use of technology at home</w:t>
      </w:r>
      <w:r w:rsidR="00F14E0E">
        <w:rPr>
          <w:rFonts w:ascii="Verdana" w:hAnsi="Verdana" w:cs="Arial"/>
        </w:rPr>
        <w:t xml:space="preserve"> and </w:t>
      </w:r>
      <w:r w:rsidR="00F14E0E" w:rsidRPr="00F14E0E">
        <w:rPr>
          <w:rFonts w:ascii="Verdana" w:hAnsi="Verdana" w:cs="Arial"/>
        </w:rPr>
        <w:t xml:space="preserve">guidance on spotting phishing </w:t>
      </w:r>
      <w:proofErr w:type="gramStart"/>
      <w:r w:rsidR="00F14E0E" w:rsidRPr="00F14E0E">
        <w:rPr>
          <w:rFonts w:ascii="Verdana" w:hAnsi="Verdana" w:cs="Arial"/>
        </w:rPr>
        <w:t>e-mails</w:t>
      </w:r>
      <w:proofErr w:type="gramEnd"/>
    </w:p>
    <w:p w14:paraId="3BAC14B1" w14:textId="77777777" w:rsidR="000E08BD" w:rsidRDefault="000E08BD" w:rsidP="00E92456">
      <w:pPr>
        <w:shd w:val="clear" w:color="auto" w:fill="FFFFFF"/>
        <w:rPr>
          <w:rFonts w:ascii="Verdana" w:hAnsi="Verdana" w:cs="Arial"/>
        </w:rPr>
      </w:pPr>
    </w:p>
    <w:p w14:paraId="273F1EBD" w14:textId="4892CB3A" w:rsidR="00CC4CA8" w:rsidRDefault="00A96C73" w:rsidP="00E92456">
      <w:pPr>
        <w:shd w:val="clear" w:color="auto" w:fill="FFFFFF"/>
        <w:rPr>
          <w:rFonts w:ascii="Verdana" w:hAnsi="Verdana" w:cs="Arial"/>
          <w:b/>
          <w:u w:val="single"/>
        </w:rPr>
      </w:pPr>
      <w:r>
        <w:rPr>
          <w:rFonts w:ascii="Verdana" w:hAnsi="Verdana" w:cs="Arial"/>
          <w:b/>
          <w:u w:val="single"/>
        </w:rPr>
        <w:t xml:space="preserve">8. </w:t>
      </w:r>
      <w:r w:rsidR="00E92456" w:rsidRPr="00E92456">
        <w:rPr>
          <w:rFonts w:ascii="Verdana" w:hAnsi="Verdana" w:cs="Arial"/>
          <w:b/>
          <w:u w:val="single"/>
        </w:rPr>
        <w:t>Business Continuity</w:t>
      </w:r>
    </w:p>
    <w:p w14:paraId="23F6EC4D" w14:textId="4DAA27FE" w:rsidR="00E92456" w:rsidRDefault="00702AB6" w:rsidP="00B144AF">
      <w:pPr>
        <w:rPr>
          <w:rFonts w:ascii="Verdana" w:hAnsi="Verdana"/>
        </w:rPr>
      </w:pPr>
      <w:r>
        <w:rPr>
          <w:rFonts w:ascii="Verdana" w:hAnsi="Verdana"/>
        </w:rPr>
        <w:t>T</w:t>
      </w:r>
      <w:r w:rsidR="00E92456" w:rsidRPr="00E92456">
        <w:rPr>
          <w:rFonts w:ascii="Verdana" w:hAnsi="Verdana"/>
        </w:rPr>
        <w:t xml:space="preserve">he OPCC Business Continuity Management (BCM) toolkit is in place to ensure staff know what to do should a situation arise where business disruptions </w:t>
      </w:r>
      <w:proofErr w:type="gramStart"/>
      <w:r w:rsidR="00E92456" w:rsidRPr="00E92456">
        <w:rPr>
          <w:rFonts w:ascii="Verdana" w:hAnsi="Verdana"/>
        </w:rPr>
        <w:t>occur</w:t>
      </w:r>
      <w:proofErr w:type="gramEnd"/>
      <w:r w:rsidR="00E92456" w:rsidRPr="00E92456">
        <w:rPr>
          <w:rFonts w:ascii="Verdana" w:hAnsi="Verdana"/>
        </w:rPr>
        <w:t xml:space="preserve"> and normal working practises cannot take place. The toolkit outlines how the office would respond effectively to recover its activities and services.</w:t>
      </w:r>
    </w:p>
    <w:p w14:paraId="1F88C162" w14:textId="5F22A86D" w:rsidR="000E08BD" w:rsidRDefault="00E92456" w:rsidP="00B144AF">
      <w:pPr>
        <w:rPr>
          <w:rFonts w:ascii="Verdana" w:hAnsi="Verdana"/>
        </w:rPr>
      </w:pPr>
      <w:r w:rsidRPr="00FE5478">
        <w:rPr>
          <w:rFonts w:ascii="Verdana" w:hAnsi="Verdana"/>
        </w:rPr>
        <w:t xml:space="preserve">The OPCC BCM </w:t>
      </w:r>
      <w:r w:rsidR="00FE5478">
        <w:rPr>
          <w:rFonts w:ascii="Verdana" w:hAnsi="Verdana"/>
        </w:rPr>
        <w:t xml:space="preserve">is reviewed </w:t>
      </w:r>
      <w:proofErr w:type="gramStart"/>
      <w:r w:rsidR="00FE5478">
        <w:rPr>
          <w:rFonts w:ascii="Verdana" w:hAnsi="Verdana"/>
        </w:rPr>
        <w:t>annually</w:t>
      </w:r>
      <w:proofErr w:type="gramEnd"/>
      <w:r w:rsidR="00FE5478">
        <w:rPr>
          <w:rFonts w:ascii="Verdana" w:hAnsi="Verdana"/>
        </w:rPr>
        <w:t xml:space="preserve"> </w:t>
      </w:r>
      <w:r w:rsidR="00991F9C">
        <w:rPr>
          <w:rFonts w:ascii="Verdana" w:hAnsi="Verdana"/>
        </w:rPr>
        <w:t>and all</w:t>
      </w:r>
      <w:r w:rsidR="00FE5478">
        <w:rPr>
          <w:rFonts w:ascii="Verdana" w:hAnsi="Verdana"/>
        </w:rPr>
        <w:t xml:space="preserve"> content </w:t>
      </w:r>
      <w:r w:rsidR="00991F9C">
        <w:rPr>
          <w:rFonts w:ascii="Verdana" w:hAnsi="Verdana"/>
        </w:rPr>
        <w:t xml:space="preserve">checked for accuracy and valid information. </w:t>
      </w:r>
    </w:p>
    <w:p w14:paraId="4FA447FF" w14:textId="0DDD65D2" w:rsidR="00F14E0E" w:rsidRDefault="003E62E5" w:rsidP="00B144AF">
      <w:pPr>
        <w:rPr>
          <w:rFonts w:ascii="Verdana" w:hAnsi="Verdana"/>
        </w:rPr>
      </w:pPr>
      <w:r>
        <w:rPr>
          <w:rFonts w:ascii="Verdana" w:hAnsi="Verdana"/>
        </w:rPr>
        <w:t xml:space="preserve">The toolkit was reviewed and revised </w:t>
      </w:r>
      <w:r w:rsidR="008A691F">
        <w:rPr>
          <w:rFonts w:ascii="Verdana" w:hAnsi="Verdana"/>
        </w:rPr>
        <w:t>in early 2023 in line with the revisions made to the templates by the Force.</w:t>
      </w:r>
    </w:p>
    <w:p w14:paraId="0DD1C27B" w14:textId="77777777" w:rsidR="005E5AD6" w:rsidRDefault="005E5AD6" w:rsidP="00E92456">
      <w:pPr>
        <w:rPr>
          <w:rFonts w:ascii="Verdana" w:hAnsi="Verdana"/>
          <w:b/>
          <w:u w:val="single"/>
        </w:rPr>
      </w:pPr>
    </w:p>
    <w:p w14:paraId="414A25B8" w14:textId="69DE3CDC" w:rsidR="00E92456" w:rsidRDefault="00A96C73" w:rsidP="00E92456">
      <w:pPr>
        <w:rPr>
          <w:rFonts w:ascii="Verdana" w:hAnsi="Verdana"/>
          <w:b/>
          <w:u w:val="single"/>
        </w:rPr>
      </w:pPr>
      <w:r>
        <w:rPr>
          <w:rFonts w:ascii="Verdana" w:hAnsi="Verdana"/>
          <w:b/>
          <w:u w:val="single"/>
        </w:rPr>
        <w:t xml:space="preserve">9. </w:t>
      </w:r>
      <w:r w:rsidR="00E92456" w:rsidRPr="00E92456">
        <w:rPr>
          <w:rFonts w:ascii="Verdana" w:hAnsi="Verdana"/>
          <w:b/>
          <w:u w:val="single"/>
        </w:rPr>
        <w:t xml:space="preserve">Policing Protocol Order 2011 </w:t>
      </w:r>
      <w:r w:rsidR="00E92456">
        <w:rPr>
          <w:rFonts w:ascii="Verdana" w:hAnsi="Verdana"/>
          <w:b/>
          <w:u w:val="single"/>
        </w:rPr>
        <w:t>–</w:t>
      </w:r>
      <w:r w:rsidR="00E92456" w:rsidRPr="00E92456">
        <w:rPr>
          <w:rFonts w:ascii="Verdana" w:hAnsi="Verdana"/>
          <w:b/>
          <w:u w:val="single"/>
        </w:rPr>
        <w:t xml:space="preserve"> </w:t>
      </w:r>
      <w:proofErr w:type="spellStart"/>
      <w:r w:rsidR="00E92456" w:rsidRPr="00E92456">
        <w:rPr>
          <w:rFonts w:ascii="Verdana" w:hAnsi="Verdana"/>
          <w:b/>
          <w:u w:val="single"/>
        </w:rPr>
        <w:t>Healthcheck</w:t>
      </w:r>
      <w:proofErr w:type="spellEnd"/>
    </w:p>
    <w:p w14:paraId="6F1BB935" w14:textId="52571054" w:rsidR="00946A72" w:rsidRPr="00946A72" w:rsidRDefault="00946A72" w:rsidP="00B144AF">
      <w:pPr>
        <w:rPr>
          <w:rFonts w:ascii="Verdana" w:hAnsi="Verdana"/>
        </w:rPr>
      </w:pPr>
      <w:r w:rsidRPr="00946A72">
        <w:rPr>
          <w:rFonts w:ascii="Verdana" w:hAnsi="Verdana"/>
        </w:rPr>
        <w:t>Section 70 of the Police Reform and Social Responsibility Act (PRSRA) 2011 requires the Secretary of State to issue a Policing Protocol, which applies to every Chief Constable and Police and Crime Commissioner.</w:t>
      </w:r>
    </w:p>
    <w:p w14:paraId="159D2616" w14:textId="5EFD2853" w:rsidR="00946A72" w:rsidRPr="00946A72" w:rsidRDefault="00946A72" w:rsidP="00B144AF">
      <w:pPr>
        <w:rPr>
          <w:rFonts w:ascii="Verdana" w:hAnsi="Verdana"/>
        </w:rPr>
      </w:pPr>
      <w:r w:rsidRPr="00946A72">
        <w:rPr>
          <w:rFonts w:ascii="Verdana" w:hAnsi="Verdana"/>
        </w:rPr>
        <w:t>This protocol sets out the roles and responsibilities of all involved in the quadripartite relationship, namely Police and Crime Commissioner, Chief Constable, Police and Crime Panel and Home Secretary.</w:t>
      </w:r>
    </w:p>
    <w:p w14:paraId="3100D909" w14:textId="2B48325D" w:rsidR="00946A72" w:rsidRPr="00946A72" w:rsidRDefault="00946A72" w:rsidP="00B144AF">
      <w:pPr>
        <w:rPr>
          <w:rFonts w:ascii="Verdana" w:hAnsi="Verdana"/>
        </w:rPr>
      </w:pPr>
      <w:proofErr w:type="gramStart"/>
      <w:r w:rsidRPr="00946A72">
        <w:rPr>
          <w:rFonts w:ascii="Verdana" w:hAnsi="Verdana"/>
        </w:rPr>
        <w:t>In order to</w:t>
      </w:r>
      <w:proofErr w:type="gramEnd"/>
      <w:r w:rsidRPr="00946A72">
        <w:rPr>
          <w:rFonts w:ascii="Verdana" w:hAnsi="Verdana"/>
        </w:rPr>
        <w:t xml:space="preserve"> demonstrate compliance with the Policing Protocol Order 2011 the O</w:t>
      </w:r>
      <w:r>
        <w:rPr>
          <w:rFonts w:ascii="Verdana" w:hAnsi="Verdana"/>
        </w:rPr>
        <w:t>PCC</w:t>
      </w:r>
      <w:r w:rsidRPr="00946A72">
        <w:rPr>
          <w:rFonts w:ascii="Verdana" w:hAnsi="Verdana"/>
        </w:rPr>
        <w:t xml:space="preserve"> developed a </w:t>
      </w:r>
      <w:proofErr w:type="spellStart"/>
      <w:r w:rsidRPr="00946A72">
        <w:rPr>
          <w:rFonts w:ascii="Verdana" w:hAnsi="Verdana"/>
        </w:rPr>
        <w:t>healthcheck</w:t>
      </w:r>
      <w:proofErr w:type="spellEnd"/>
      <w:r w:rsidRPr="00946A72">
        <w:rPr>
          <w:rFonts w:ascii="Verdana" w:hAnsi="Verdana"/>
        </w:rPr>
        <w:t xml:space="preserve"> </w:t>
      </w:r>
      <w:r>
        <w:rPr>
          <w:rFonts w:ascii="Verdana" w:hAnsi="Verdana"/>
        </w:rPr>
        <w:t xml:space="preserve">in 2018 </w:t>
      </w:r>
      <w:r w:rsidRPr="00946A72">
        <w:rPr>
          <w:rFonts w:ascii="Verdana" w:hAnsi="Verdana"/>
        </w:rPr>
        <w:t>which covers all the areas in the protocol which the Police and Crime Commissioner has legal power and duty over.</w:t>
      </w:r>
    </w:p>
    <w:p w14:paraId="2E64CDD1" w14:textId="5570E1BD" w:rsidR="00946A72" w:rsidRDefault="00991F9C" w:rsidP="00B144AF">
      <w:pPr>
        <w:pStyle w:val="ListParagraph"/>
        <w:numPr>
          <w:ilvl w:val="0"/>
          <w:numId w:val="10"/>
        </w:numPr>
        <w:ind w:left="0"/>
        <w:rPr>
          <w:rFonts w:ascii="Verdana" w:hAnsi="Verdana"/>
        </w:rPr>
      </w:pPr>
      <w:r>
        <w:rPr>
          <w:rFonts w:ascii="Verdana" w:hAnsi="Verdana"/>
        </w:rPr>
        <w:t xml:space="preserve">The </w:t>
      </w:r>
      <w:proofErr w:type="spellStart"/>
      <w:r>
        <w:rPr>
          <w:rFonts w:ascii="Verdana" w:hAnsi="Verdana"/>
        </w:rPr>
        <w:t>healthcheck</w:t>
      </w:r>
      <w:proofErr w:type="spellEnd"/>
      <w:r>
        <w:rPr>
          <w:rFonts w:ascii="Verdana" w:hAnsi="Verdana"/>
        </w:rPr>
        <w:t xml:space="preserve"> </w:t>
      </w:r>
      <w:r w:rsidR="002B5AE4">
        <w:rPr>
          <w:rFonts w:ascii="Verdana" w:hAnsi="Verdana"/>
        </w:rPr>
        <w:t>is now reviewed on an annual basis to ensure that it remains relevant and provides business leads the opportunity to reflect on previous entries and change reporting as required.</w:t>
      </w:r>
      <w:r w:rsidR="00946A72">
        <w:rPr>
          <w:rFonts w:ascii="Verdana" w:hAnsi="Verdana"/>
        </w:rPr>
        <w:t xml:space="preserve"> </w:t>
      </w:r>
      <w:r w:rsidR="00043640">
        <w:rPr>
          <w:rFonts w:ascii="Verdana" w:hAnsi="Verdana"/>
        </w:rPr>
        <w:t xml:space="preserve">Whilst the Office considers alternative ways of capturing this information version 5 has been </w:t>
      </w:r>
      <w:r w:rsidR="008131D4">
        <w:rPr>
          <w:rFonts w:ascii="Verdana" w:hAnsi="Verdana"/>
        </w:rPr>
        <w:t>prepared for the 2023 – 24 year.</w:t>
      </w:r>
    </w:p>
    <w:p w14:paraId="0F41A0E4" w14:textId="7E95369E" w:rsidR="00D8781D" w:rsidRDefault="00D8781D" w:rsidP="00B144AF">
      <w:pPr>
        <w:pStyle w:val="ListParagraph"/>
        <w:numPr>
          <w:ilvl w:val="0"/>
          <w:numId w:val="10"/>
        </w:numPr>
        <w:ind w:left="0"/>
        <w:rPr>
          <w:rFonts w:ascii="Verdana" w:hAnsi="Verdana"/>
        </w:rPr>
      </w:pPr>
      <w:r>
        <w:rPr>
          <w:rFonts w:ascii="Verdana" w:hAnsi="Verdana"/>
        </w:rPr>
        <w:t xml:space="preserve">All </w:t>
      </w:r>
      <w:r w:rsidR="00EE0A72">
        <w:rPr>
          <w:rFonts w:ascii="Verdana" w:hAnsi="Verdana"/>
        </w:rPr>
        <w:t xml:space="preserve">business areas </w:t>
      </w:r>
      <w:r>
        <w:rPr>
          <w:rFonts w:ascii="Verdana" w:hAnsi="Verdana"/>
        </w:rPr>
        <w:t xml:space="preserve">within the OPCC contribute to the </w:t>
      </w:r>
      <w:proofErr w:type="spellStart"/>
      <w:r>
        <w:rPr>
          <w:rFonts w:ascii="Verdana" w:hAnsi="Verdana"/>
        </w:rPr>
        <w:t>healthcheck</w:t>
      </w:r>
      <w:proofErr w:type="spellEnd"/>
      <w:r>
        <w:rPr>
          <w:rFonts w:ascii="Verdana" w:hAnsi="Verdana"/>
        </w:rPr>
        <w:t xml:space="preserve"> on a quarterly basis by entering </w:t>
      </w:r>
      <w:r w:rsidR="003E0D0B">
        <w:rPr>
          <w:rFonts w:ascii="Verdana" w:hAnsi="Verdana"/>
        </w:rPr>
        <w:t xml:space="preserve">management information </w:t>
      </w:r>
      <w:r>
        <w:rPr>
          <w:rFonts w:ascii="Verdana" w:hAnsi="Verdana"/>
        </w:rPr>
        <w:t xml:space="preserve">and summaries of what work they have conducted </w:t>
      </w:r>
      <w:proofErr w:type="gramStart"/>
      <w:r>
        <w:rPr>
          <w:rFonts w:ascii="Verdana" w:hAnsi="Verdana"/>
        </w:rPr>
        <w:t>in order to</w:t>
      </w:r>
      <w:proofErr w:type="gramEnd"/>
      <w:r>
        <w:rPr>
          <w:rFonts w:ascii="Verdana" w:hAnsi="Verdana"/>
        </w:rPr>
        <w:t xml:space="preserve"> meet the required specifications</w:t>
      </w:r>
      <w:r w:rsidR="00DA2CC8">
        <w:rPr>
          <w:rFonts w:ascii="Verdana" w:hAnsi="Verdana"/>
        </w:rPr>
        <w:t>.</w:t>
      </w:r>
    </w:p>
    <w:p w14:paraId="63C5FE4D" w14:textId="59D7C855" w:rsidR="00D8781D" w:rsidRDefault="00D8781D" w:rsidP="00B144AF">
      <w:pPr>
        <w:pStyle w:val="ListParagraph"/>
        <w:numPr>
          <w:ilvl w:val="0"/>
          <w:numId w:val="10"/>
        </w:numPr>
        <w:ind w:left="0"/>
        <w:rPr>
          <w:rFonts w:ascii="Verdana" w:hAnsi="Verdana"/>
        </w:rPr>
      </w:pPr>
      <w:r>
        <w:rPr>
          <w:rFonts w:ascii="Verdana" w:hAnsi="Verdana"/>
        </w:rPr>
        <w:lastRenderedPageBreak/>
        <w:t>A report is produced from these summaries which is presente</w:t>
      </w:r>
      <w:r w:rsidR="00946A72">
        <w:rPr>
          <w:rFonts w:ascii="Verdana" w:hAnsi="Verdana"/>
        </w:rPr>
        <w:t>d to the Police and Crime Panel and published on the OPCC website.</w:t>
      </w:r>
    </w:p>
    <w:p w14:paraId="3DB9C802" w14:textId="74871433" w:rsidR="00D8781D" w:rsidRDefault="00D8781D" w:rsidP="00B144AF">
      <w:pPr>
        <w:pStyle w:val="ListParagraph"/>
        <w:numPr>
          <w:ilvl w:val="0"/>
          <w:numId w:val="10"/>
        </w:numPr>
        <w:ind w:left="0"/>
        <w:rPr>
          <w:rFonts w:ascii="Verdana" w:hAnsi="Verdana"/>
        </w:rPr>
      </w:pPr>
      <w:r>
        <w:rPr>
          <w:rFonts w:ascii="Verdana" w:hAnsi="Verdana"/>
        </w:rPr>
        <w:t xml:space="preserve">A summary of the </w:t>
      </w:r>
      <w:proofErr w:type="spellStart"/>
      <w:r>
        <w:rPr>
          <w:rFonts w:ascii="Verdana" w:hAnsi="Verdana"/>
        </w:rPr>
        <w:t>healthcheck</w:t>
      </w:r>
      <w:proofErr w:type="spellEnd"/>
      <w:r>
        <w:rPr>
          <w:rFonts w:ascii="Verdana" w:hAnsi="Verdana"/>
        </w:rPr>
        <w:t xml:space="preserve"> is produced quarterly for the Exec Team detailing each area with a RAG rating</w:t>
      </w:r>
      <w:r w:rsidR="00DA2CC8">
        <w:rPr>
          <w:rFonts w:ascii="Verdana" w:hAnsi="Verdana"/>
        </w:rPr>
        <w:t>.</w:t>
      </w:r>
    </w:p>
    <w:p w14:paraId="7F0A4E60" w14:textId="55002D01" w:rsidR="004B4C9E" w:rsidRDefault="004B4C9E" w:rsidP="004B4C9E">
      <w:pPr>
        <w:pStyle w:val="ListParagraph"/>
      </w:pPr>
    </w:p>
    <w:p w14:paraId="47A81BCE" w14:textId="5A5D8037" w:rsidR="004B4C9E" w:rsidRPr="004B4C9E" w:rsidRDefault="00A96C73" w:rsidP="004B4C9E">
      <w:pPr>
        <w:rPr>
          <w:rFonts w:ascii="Verdana" w:hAnsi="Verdana"/>
          <w:b/>
          <w:u w:val="single"/>
        </w:rPr>
      </w:pPr>
      <w:r>
        <w:rPr>
          <w:rFonts w:ascii="Verdana" w:hAnsi="Verdana"/>
          <w:b/>
          <w:u w:val="single"/>
        </w:rPr>
        <w:t xml:space="preserve">10. </w:t>
      </w:r>
      <w:r w:rsidR="004B4C9E" w:rsidRPr="004B4C9E">
        <w:rPr>
          <w:rFonts w:ascii="Verdana" w:hAnsi="Verdana"/>
          <w:b/>
          <w:u w:val="single"/>
        </w:rPr>
        <w:t>Training</w:t>
      </w:r>
    </w:p>
    <w:p w14:paraId="4AA8E179" w14:textId="6F1EA75B" w:rsidR="00F106A7" w:rsidRDefault="004B4C9E" w:rsidP="00B144AF">
      <w:pPr>
        <w:rPr>
          <w:rFonts w:ascii="Verdana" w:hAnsi="Verdana"/>
        </w:rPr>
      </w:pPr>
      <w:r w:rsidRPr="00660C82">
        <w:rPr>
          <w:rFonts w:ascii="Verdana" w:hAnsi="Verdana"/>
        </w:rPr>
        <w:t>All OPCC staff are given the opportunity to attend regular training to ensure they are equipped with the tools and skills to undertake their duties</w:t>
      </w:r>
      <w:r w:rsidR="00DA2CC8" w:rsidRPr="00660C82">
        <w:rPr>
          <w:rFonts w:ascii="Verdana" w:hAnsi="Verdana"/>
        </w:rPr>
        <w:t>.</w:t>
      </w:r>
      <w:r w:rsidR="00660C82" w:rsidRPr="00660C82">
        <w:rPr>
          <w:rFonts w:ascii="Verdana" w:hAnsi="Verdana"/>
        </w:rPr>
        <w:t xml:space="preserve"> The appraisal system (DAP) allows line managers to monitor staff training and discuss any requirements.</w:t>
      </w:r>
    </w:p>
    <w:p w14:paraId="06073277" w14:textId="0A6032DD" w:rsidR="004824A3" w:rsidRDefault="004824A3" w:rsidP="00B144AF">
      <w:pPr>
        <w:rPr>
          <w:rFonts w:ascii="Verdana" w:hAnsi="Verdana"/>
        </w:rPr>
      </w:pPr>
      <w:r>
        <w:rPr>
          <w:rFonts w:ascii="Verdana" w:hAnsi="Verdana"/>
        </w:rPr>
        <w:t xml:space="preserve">A </w:t>
      </w:r>
      <w:r w:rsidR="00CB06D0">
        <w:rPr>
          <w:rFonts w:ascii="Verdana" w:hAnsi="Verdana"/>
        </w:rPr>
        <w:t xml:space="preserve">training attendance tracker is maintained by the </w:t>
      </w:r>
      <w:r w:rsidR="001C79EB">
        <w:rPr>
          <w:rFonts w:ascii="Verdana" w:hAnsi="Verdana"/>
        </w:rPr>
        <w:t>Office and staff complete the tracker when they have attended any new training as identified and notified by the Business Manager.</w:t>
      </w:r>
    </w:p>
    <w:p w14:paraId="00EB6936" w14:textId="72EAE959" w:rsidR="00660C82" w:rsidRPr="00660C82" w:rsidRDefault="00CB06D0" w:rsidP="00B144AF">
      <w:pPr>
        <w:rPr>
          <w:rFonts w:ascii="Verdana" w:hAnsi="Verdana"/>
        </w:rPr>
      </w:pPr>
      <w:r>
        <w:rPr>
          <w:rFonts w:ascii="Verdana" w:hAnsi="Verdana"/>
        </w:rPr>
        <w:t>In addition to this</w:t>
      </w:r>
      <w:r w:rsidR="00702AB6">
        <w:rPr>
          <w:rFonts w:ascii="Verdana" w:hAnsi="Verdana"/>
        </w:rPr>
        <w:t xml:space="preserve"> all staff are required to undertake mandatory NCALT </w:t>
      </w:r>
      <w:r w:rsidR="00F106A7">
        <w:rPr>
          <w:rFonts w:ascii="Verdana" w:hAnsi="Verdana"/>
        </w:rPr>
        <w:t xml:space="preserve">(National Centre for Applied Learning Technologies) </w:t>
      </w:r>
      <w:r w:rsidR="00702AB6">
        <w:rPr>
          <w:rFonts w:ascii="Verdana" w:hAnsi="Verdana"/>
        </w:rPr>
        <w:t>modules on a variety of topics to ensure they are informed</w:t>
      </w:r>
      <w:r w:rsidR="00F106A7">
        <w:rPr>
          <w:rFonts w:ascii="Verdana" w:hAnsi="Verdana"/>
        </w:rPr>
        <w:t xml:space="preserve"> of topics</w:t>
      </w:r>
      <w:r w:rsidR="00702AB6">
        <w:rPr>
          <w:rFonts w:ascii="Verdana" w:hAnsi="Verdana"/>
        </w:rPr>
        <w:t xml:space="preserve"> which affect them, </w:t>
      </w:r>
      <w:proofErr w:type="gramStart"/>
      <w:r w:rsidR="00833912">
        <w:rPr>
          <w:rFonts w:ascii="Verdana" w:hAnsi="Verdana"/>
        </w:rPr>
        <w:t>e.g.</w:t>
      </w:r>
      <w:proofErr w:type="gramEnd"/>
      <w:r w:rsidR="00702AB6">
        <w:rPr>
          <w:rFonts w:ascii="Verdana" w:hAnsi="Verdana"/>
        </w:rPr>
        <w:t xml:space="preserve"> H&amp;S, Data Protection, Lone Working</w:t>
      </w:r>
    </w:p>
    <w:p w14:paraId="55D0E25F" w14:textId="5566061D" w:rsidR="00702AB6" w:rsidRDefault="00F106A7" w:rsidP="00B144AF">
      <w:pPr>
        <w:pStyle w:val="ListParagraph"/>
        <w:numPr>
          <w:ilvl w:val="0"/>
          <w:numId w:val="11"/>
        </w:numPr>
        <w:ind w:left="284" w:hanging="284"/>
        <w:rPr>
          <w:rFonts w:ascii="Verdana" w:hAnsi="Verdana"/>
        </w:rPr>
      </w:pPr>
      <w:r>
        <w:rPr>
          <w:rFonts w:ascii="Verdana" w:hAnsi="Verdana"/>
        </w:rPr>
        <w:t xml:space="preserve">All line managers </w:t>
      </w:r>
      <w:r w:rsidR="0003304D">
        <w:rPr>
          <w:rFonts w:ascii="Verdana" w:hAnsi="Verdana"/>
        </w:rPr>
        <w:t>are required</w:t>
      </w:r>
      <w:r>
        <w:rPr>
          <w:rFonts w:ascii="Verdana" w:hAnsi="Verdana"/>
        </w:rPr>
        <w:t xml:space="preserve"> to check on the completion levels of NCALT modules as part of their DAP discussions with staff. A training matrix is in place listing these to assist with this process.</w:t>
      </w:r>
      <w:r w:rsidR="00606CAE">
        <w:rPr>
          <w:rFonts w:ascii="Verdana" w:hAnsi="Verdana"/>
        </w:rPr>
        <w:t xml:space="preserve"> </w:t>
      </w:r>
      <w:r w:rsidR="00820E47">
        <w:rPr>
          <w:rFonts w:ascii="Verdana" w:hAnsi="Verdana"/>
        </w:rPr>
        <w:t xml:space="preserve">Staff compliance levels are good with </w:t>
      </w:r>
      <w:proofErr w:type="gramStart"/>
      <w:r w:rsidR="00820E47">
        <w:rPr>
          <w:rFonts w:ascii="Verdana" w:hAnsi="Verdana"/>
        </w:rPr>
        <w:t>the majority of</w:t>
      </w:r>
      <w:proofErr w:type="gramEnd"/>
      <w:r w:rsidR="00820E47">
        <w:rPr>
          <w:rFonts w:ascii="Verdana" w:hAnsi="Verdana"/>
        </w:rPr>
        <w:t xml:space="preserve"> staff over 95% compliance.</w:t>
      </w:r>
    </w:p>
    <w:p w14:paraId="64030927" w14:textId="77777777" w:rsidR="007202DC" w:rsidRDefault="007202DC" w:rsidP="00B144AF">
      <w:pPr>
        <w:pStyle w:val="ListParagraph"/>
        <w:ind w:left="0"/>
        <w:rPr>
          <w:rFonts w:ascii="Verdana" w:hAnsi="Verdana"/>
        </w:rPr>
      </w:pPr>
    </w:p>
    <w:p w14:paraId="32E0A280" w14:textId="16FC3237" w:rsidR="00702AB6" w:rsidRDefault="004824A3" w:rsidP="00B144AF">
      <w:pPr>
        <w:pStyle w:val="ListParagraph"/>
        <w:numPr>
          <w:ilvl w:val="0"/>
          <w:numId w:val="11"/>
        </w:numPr>
        <w:ind w:left="284" w:hanging="284"/>
        <w:rPr>
          <w:rFonts w:ascii="Verdana" w:hAnsi="Verdana"/>
        </w:rPr>
      </w:pPr>
      <w:r>
        <w:rPr>
          <w:rFonts w:ascii="Verdana" w:hAnsi="Verdana"/>
        </w:rPr>
        <w:t xml:space="preserve">There are occasions when the Force will request a certain NCALT module be completed by all staff, the </w:t>
      </w:r>
      <w:r w:rsidR="00E405B9">
        <w:rPr>
          <w:rFonts w:ascii="Verdana" w:hAnsi="Verdana"/>
        </w:rPr>
        <w:t>Business</w:t>
      </w:r>
      <w:r>
        <w:rPr>
          <w:rFonts w:ascii="Verdana" w:hAnsi="Verdana"/>
        </w:rPr>
        <w:t xml:space="preserve"> Manager communicates this to all staff and enters it onto the training matrix. Requests in the last financial year have included </w:t>
      </w:r>
      <w:r w:rsidR="00F9494D">
        <w:rPr>
          <w:rFonts w:ascii="Verdana" w:hAnsi="Verdana"/>
        </w:rPr>
        <w:t>Autism training and stop and search unconscious bias</w:t>
      </w:r>
      <w:r w:rsidR="009A7627">
        <w:rPr>
          <w:rFonts w:ascii="Verdana" w:hAnsi="Verdana"/>
        </w:rPr>
        <w:t>.</w:t>
      </w:r>
    </w:p>
    <w:p w14:paraId="4580ABF9" w14:textId="77777777" w:rsidR="005E5AD6" w:rsidRDefault="005E5AD6" w:rsidP="00B82A19">
      <w:pPr>
        <w:rPr>
          <w:rFonts w:ascii="Verdana" w:hAnsi="Verdana"/>
          <w:b/>
          <w:u w:val="single"/>
        </w:rPr>
      </w:pPr>
    </w:p>
    <w:p w14:paraId="700CE41B" w14:textId="698C46B0" w:rsidR="007E2487" w:rsidRDefault="00A96C73" w:rsidP="00B82A19">
      <w:pPr>
        <w:rPr>
          <w:rFonts w:ascii="Verdana" w:hAnsi="Verdana"/>
          <w:b/>
          <w:u w:val="single"/>
        </w:rPr>
      </w:pPr>
      <w:r>
        <w:rPr>
          <w:rFonts w:ascii="Verdana" w:hAnsi="Verdana"/>
          <w:b/>
          <w:u w:val="single"/>
        </w:rPr>
        <w:t xml:space="preserve">11. </w:t>
      </w:r>
      <w:r w:rsidR="007E2487">
        <w:rPr>
          <w:rFonts w:ascii="Verdana" w:hAnsi="Verdana"/>
          <w:b/>
          <w:u w:val="single"/>
        </w:rPr>
        <w:t>HR</w:t>
      </w:r>
    </w:p>
    <w:p w14:paraId="1EA22FB0" w14:textId="278C08BA" w:rsidR="007E2487" w:rsidRDefault="007E2487" w:rsidP="00B144AF">
      <w:pPr>
        <w:rPr>
          <w:rFonts w:ascii="Verdana" w:hAnsi="Verdana"/>
        </w:rPr>
      </w:pPr>
      <w:r>
        <w:rPr>
          <w:rFonts w:ascii="Verdana" w:hAnsi="Verdana"/>
        </w:rPr>
        <w:t>An absence data report is provided to the Exec. Team on a</w:t>
      </w:r>
      <w:r w:rsidR="001E4F2C">
        <w:rPr>
          <w:rFonts w:ascii="Verdana" w:hAnsi="Verdana"/>
        </w:rPr>
        <w:t xml:space="preserve">n </w:t>
      </w:r>
      <w:r w:rsidR="00183344">
        <w:rPr>
          <w:rFonts w:ascii="Verdana" w:hAnsi="Verdana"/>
        </w:rPr>
        <w:t>annual</w:t>
      </w:r>
      <w:r>
        <w:rPr>
          <w:rFonts w:ascii="Verdana" w:hAnsi="Verdana"/>
        </w:rPr>
        <w:t xml:space="preserve"> basis to</w:t>
      </w:r>
      <w:r w:rsidR="00A40F62">
        <w:rPr>
          <w:rFonts w:ascii="Verdana" w:hAnsi="Verdana"/>
        </w:rPr>
        <w:t xml:space="preserve"> </w:t>
      </w:r>
      <w:r w:rsidR="00E54C79">
        <w:rPr>
          <w:rFonts w:ascii="Verdana" w:hAnsi="Verdana"/>
        </w:rPr>
        <w:t>ensure they are informed of any absence issues that arise, any patterns, average hours lost, percentage levels etc.</w:t>
      </w:r>
    </w:p>
    <w:p w14:paraId="197055B3" w14:textId="77777777" w:rsidR="005E5AD6" w:rsidRDefault="005E5AD6" w:rsidP="00B82A19">
      <w:pPr>
        <w:rPr>
          <w:rFonts w:ascii="Verdana" w:hAnsi="Verdana"/>
          <w:b/>
          <w:u w:val="single"/>
        </w:rPr>
      </w:pPr>
    </w:p>
    <w:p w14:paraId="4F10DAC2" w14:textId="181BB80B" w:rsidR="00BC6E3E" w:rsidRPr="00BC6E3E" w:rsidRDefault="00A96C73" w:rsidP="00072A4B">
      <w:pPr>
        <w:rPr>
          <w:rFonts w:ascii="Verdana" w:hAnsi="Verdana"/>
        </w:rPr>
      </w:pPr>
      <w:r>
        <w:rPr>
          <w:rFonts w:ascii="Verdana" w:hAnsi="Verdana"/>
          <w:b/>
          <w:u w:val="single"/>
        </w:rPr>
        <w:t xml:space="preserve">12. </w:t>
      </w:r>
      <w:r w:rsidR="00983C10">
        <w:rPr>
          <w:rFonts w:ascii="Verdana" w:hAnsi="Verdana"/>
          <w:b/>
          <w:u w:val="single"/>
        </w:rPr>
        <w:t>HMIC Responses</w:t>
      </w:r>
    </w:p>
    <w:p w14:paraId="115BC1FA" w14:textId="66AEBF10" w:rsidR="007E2487" w:rsidRPr="009C313B" w:rsidRDefault="009C313B" w:rsidP="00B82A19">
      <w:pPr>
        <w:rPr>
          <w:rFonts w:ascii="Verdana" w:hAnsi="Verdana"/>
        </w:rPr>
      </w:pPr>
      <w:r w:rsidRPr="009C313B">
        <w:rPr>
          <w:rFonts w:ascii="Verdana" w:hAnsi="Verdana"/>
        </w:rPr>
        <w:lastRenderedPageBreak/>
        <w:t xml:space="preserve">There have been </w:t>
      </w:r>
      <w:r w:rsidR="00FF37B6">
        <w:rPr>
          <w:rFonts w:ascii="Verdana" w:hAnsi="Verdana"/>
        </w:rPr>
        <w:t>1</w:t>
      </w:r>
      <w:r w:rsidR="000610BB">
        <w:rPr>
          <w:rFonts w:ascii="Verdana" w:hAnsi="Verdana"/>
        </w:rPr>
        <w:t>0</w:t>
      </w:r>
      <w:r w:rsidR="0006758B" w:rsidRPr="009C313B">
        <w:rPr>
          <w:rFonts w:ascii="Verdana" w:hAnsi="Verdana"/>
        </w:rPr>
        <w:t xml:space="preserve"> </w:t>
      </w:r>
      <w:r w:rsidRPr="009C313B">
        <w:rPr>
          <w:rFonts w:ascii="Verdana" w:hAnsi="Verdana"/>
        </w:rPr>
        <w:t>responses submitted to HMIC in the last year:</w:t>
      </w:r>
    </w:p>
    <w:p w14:paraId="7255D165" w14:textId="021A3612" w:rsidR="004B4C9E" w:rsidRPr="00C04643" w:rsidRDefault="0006758B" w:rsidP="00C04643">
      <w:pPr>
        <w:pStyle w:val="NoSpacing"/>
        <w:rPr>
          <w:rFonts w:ascii="Verdana" w:hAnsi="Verdana"/>
        </w:rPr>
      </w:pPr>
      <w:r w:rsidRPr="00C04643">
        <w:rPr>
          <w:rFonts w:ascii="Verdana" w:hAnsi="Verdana"/>
        </w:rPr>
        <w:t>A Joint thematic Inspection of the police and Crown prosecution Service’s response to rape – Phase Two.</w:t>
      </w:r>
    </w:p>
    <w:p w14:paraId="70170F91" w14:textId="77777777" w:rsidR="00C04643" w:rsidRDefault="00C04643" w:rsidP="0006758B">
      <w:pPr>
        <w:pStyle w:val="NoSpacing"/>
        <w:rPr>
          <w:rFonts w:ascii="Verdana" w:hAnsi="Verdana"/>
        </w:rPr>
      </w:pPr>
    </w:p>
    <w:p w14:paraId="0DBD070F" w14:textId="30C426F3" w:rsidR="0006758B" w:rsidRDefault="0006758B" w:rsidP="0006758B">
      <w:pPr>
        <w:pStyle w:val="NoSpacing"/>
        <w:rPr>
          <w:rFonts w:ascii="Verdana" w:hAnsi="Verdana"/>
        </w:rPr>
      </w:pPr>
      <w:r w:rsidRPr="00C04643">
        <w:rPr>
          <w:rFonts w:ascii="Verdana" w:hAnsi="Verdana"/>
        </w:rPr>
        <w:t>A Joint Thematic Inspection of Multi Agency Public Protection Arrangements (MAPPA)</w:t>
      </w:r>
      <w:r w:rsidR="00C04643">
        <w:rPr>
          <w:rFonts w:ascii="Verdana" w:hAnsi="Verdana"/>
        </w:rPr>
        <w:t>.</w:t>
      </w:r>
    </w:p>
    <w:p w14:paraId="283D07EE" w14:textId="040BE530" w:rsidR="0006758B" w:rsidRDefault="0006758B" w:rsidP="0006758B">
      <w:pPr>
        <w:pStyle w:val="NoSpacing"/>
        <w:rPr>
          <w:rFonts w:ascii="Verdana" w:hAnsi="Verdana"/>
        </w:rPr>
      </w:pPr>
    </w:p>
    <w:p w14:paraId="57641324" w14:textId="72A9AF5D" w:rsidR="0006758B" w:rsidRDefault="0006758B" w:rsidP="0006758B">
      <w:pPr>
        <w:pStyle w:val="NoSpacing"/>
        <w:rPr>
          <w:rFonts w:ascii="Verdana" w:hAnsi="Verdana"/>
        </w:rPr>
      </w:pPr>
      <w:r>
        <w:rPr>
          <w:rFonts w:ascii="Verdana" w:hAnsi="Verdana"/>
        </w:rPr>
        <w:t>The impact of Covid-19 pandemic on the criminal justice system – a progress report</w:t>
      </w:r>
      <w:r w:rsidR="00C04643">
        <w:rPr>
          <w:rFonts w:ascii="Verdana" w:hAnsi="Verdana"/>
        </w:rPr>
        <w:t>.</w:t>
      </w:r>
    </w:p>
    <w:p w14:paraId="5C9C290D" w14:textId="378966D3" w:rsidR="0006758B" w:rsidRDefault="0006758B" w:rsidP="0006758B">
      <w:pPr>
        <w:pStyle w:val="NoSpacing"/>
        <w:rPr>
          <w:rFonts w:ascii="Verdana" w:hAnsi="Verdana"/>
        </w:rPr>
      </w:pPr>
    </w:p>
    <w:p w14:paraId="2D3A910F" w14:textId="3E096728" w:rsidR="0006758B" w:rsidRDefault="0006758B" w:rsidP="0006758B">
      <w:pPr>
        <w:pStyle w:val="NoSpacing"/>
        <w:rPr>
          <w:rFonts w:ascii="Verdana" w:hAnsi="Verdana"/>
        </w:rPr>
      </w:pPr>
      <w:r>
        <w:rPr>
          <w:rFonts w:ascii="Verdana" w:hAnsi="Verdana"/>
        </w:rPr>
        <w:t>Police perpetrated domestic abuse: Report on the Centre for Women’s Justice super complaint.</w:t>
      </w:r>
    </w:p>
    <w:p w14:paraId="09C73583" w14:textId="5756D7E5" w:rsidR="0006758B" w:rsidRDefault="0006758B" w:rsidP="0006758B">
      <w:pPr>
        <w:pStyle w:val="NoSpacing"/>
        <w:rPr>
          <w:rFonts w:ascii="Verdana" w:hAnsi="Verdana"/>
        </w:rPr>
      </w:pPr>
    </w:p>
    <w:p w14:paraId="39A55BD6" w14:textId="25C43172" w:rsidR="0006758B" w:rsidRDefault="0006758B" w:rsidP="0006758B">
      <w:pPr>
        <w:pStyle w:val="NoSpacing"/>
        <w:rPr>
          <w:rFonts w:ascii="Verdana" w:hAnsi="Verdana"/>
        </w:rPr>
      </w:pPr>
      <w:r>
        <w:rPr>
          <w:rFonts w:ascii="Verdana" w:hAnsi="Verdana"/>
        </w:rPr>
        <w:t>Dyfed Powys Police Effectiveness, Efficiency and Legitimacy (PEEL) inspection 2021/222</w:t>
      </w:r>
      <w:r w:rsidR="00C04643">
        <w:rPr>
          <w:rFonts w:ascii="Verdana" w:hAnsi="Verdana"/>
        </w:rPr>
        <w:t>.</w:t>
      </w:r>
    </w:p>
    <w:p w14:paraId="0C255447" w14:textId="4A3A069A" w:rsidR="0006758B" w:rsidRDefault="0006758B" w:rsidP="0006758B">
      <w:pPr>
        <w:pStyle w:val="NoSpacing"/>
        <w:rPr>
          <w:rFonts w:ascii="Verdana" w:hAnsi="Verdana"/>
        </w:rPr>
      </w:pPr>
    </w:p>
    <w:p w14:paraId="39F57B00" w14:textId="54D1A4EF" w:rsidR="0006758B" w:rsidRDefault="0006758B" w:rsidP="0006758B">
      <w:pPr>
        <w:pStyle w:val="NoSpacing"/>
        <w:rPr>
          <w:rFonts w:ascii="Verdana" w:hAnsi="Verdana"/>
        </w:rPr>
      </w:pPr>
      <w:r>
        <w:rPr>
          <w:rFonts w:ascii="Verdana" w:hAnsi="Verdana"/>
        </w:rPr>
        <w:t>The Police response to burglary, robbery and other acquisitive crime</w:t>
      </w:r>
    </w:p>
    <w:p w14:paraId="09B15166" w14:textId="7DD66A97" w:rsidR="0006758B" w:rsidRDefault="0006758B" w:rsidP="0006758B">
      <w:pPr>
        <w:pStyle w:val="NoSpacing"/>
        <w:rPr>
          <w:rFonts w:ascii="Verdana" w:hAnsi="Verdana"/>
        </w:rPr>
      </w:pPr>
      <w:r>
        <w:rPr>
          <w:rFonts w:ascii="Verdana" w:hAnsi="Verdana"/>
        </w:rPr>
        <w:t>An inspection of vetting, misconduct, and misogyny in the police service</w:t>
      </w:r>
      <w:r w:rsidR="00C04643">
        <w:rPr>
          <w:rFonts w:ascii="Verdana" w:hAnsi="Verdana"/>
        </w:rPr>
        <w:t>.</w:t>
      </w:r>
    </w:p>
    <w:p w14:paraId="3F01977C" w14:textId="6CACCED6" w:rsidR="0006758B" w:rsidRDefault="0006758B" w:rsidP="0006758B">
      <w:pPr>
        <w:pStyle w:val="NoSpacing"/>
        <w:rPr>
          <w:rFonts w:ascii="Verdana" w:hAnsi="Verdana"/>
        </w:rPr>
      </w:pPr>
    </w:p>
    <w:p w14:paraId="3C87D2D1" w14:textId="3B4B3F8D" w:rsidR="0006758B" w:rsidRDefault="0006758B" w:rsidP="0006758B">
      <w:pPr>
        <w:pStyle w:val="NoSpacing"/>
        <w:rPr>
          <w:rFonts w:ascii="Verdana" w:hAnsi="Verdana"/>
        </w:rPr>
      </w:pPr>
      <w:r>
        <w:rPr>
          <w:rFonts w:ascii="Verdana" w:hAnsi="Verdana"/>
        </w:rPr>
        <w:t>An inspection into how well the police and other agencies use digital forensics in their investigations.</w:t>
      </w:r>
    </w:p>
    <w:p w14:paraId="4B43DC1F" w14:textId="77777777" w:rsidR="009C4F56" w:rsidRDefault="009C4F56" w:rsidP="0006758B">
      <w:pPr>
        <w:pStyle w:val="NoSpacing"/>
        <w:rPr>
          <w:rFonts w:ascii="Verdana" w:hAnsi="Verdana"/>
        </w:rPr>
      </w:pPr>
    </w:p>
    <w:p w14:paraId="6B73E3FF" w14:textId="6B7B8CD3" w:rsidR="009C4F56" w:rsidRDefault="003360B8" w:rsidP="0006758B">
      <w:pPr>
        <w:pStyle w:val="NoSpacing"/>
        <w:rPr>
          <w:rFonts w:ascii="Verdana" w:hAnsi="Verdana"/>
        </w:rPr>
      </w:pPr>
      <w:r>
        <w:rPr>
          <w:rFonts w:ascii="Verdana" w:hAnsi="Verdana"/>
        </w:rPr>
        <w:t xml:space="preserve">How the police respond to victims of sexual abuse when the victim is from an ethnic minority background and may be at risk of honour-based </w:t>
      </w:r>
      <w:r w:rsidR="00A53F0C">
        <w:rPr>
          <w:rFonts w:ascii="Verdana" w:hAnsi="Verdana"/>
        </w:rPr>
        <w:t>abuse</w:t>
      </w:r>
      <w:r>
        <w:rPr>
          <w:rFonts w:ascii="Verdana" w:hAnsi="Verdana"/>
        </w:rPr>
        <w:t>: Report on Tees Valley Inclusions Project’s super com</w:t>
      </w:r>
      <w:r w:rsidR="00A53F0C">
        <w:rPr>
          <w:rFonts w:ascii="Verdana" w:hAnsi="Verdana"/>
        </w:rPr>
        <w:t>plaint</w:t>
      </w:r>
      <w:r w:rsidR="00C04643">
        <w:rPr>
          <w:rFonts w:ascii="Verdana" w:hAnsi="Verdana"/>
        </w:rPr>
        <w:t>.</w:t>
      </w:r>
    </w:p>
    <w:p w14:paraId="590C6CED" w14:textId="77777777" w:rsidR="00A53F0C" w:rsidRDefault="00A53F0C" w:rsidP="0006758B">
      <w:pPr>
        <w:pStyle w:val="NoSpacing"/>
        <w:rPr>
          <w:rFonts w:ascii="Verdana" w:hAnsi="Verdana"/>
        </w:rPr>
      </w:pPr>
    </w:p>
    <w:p w14:paraId="3FB651BD" w14:textId="0C211050" w:rsidR="00A53F0C" w:rsidRDefault="00FF37B6" w:rsidP="0006758B">
      <w:pPr>
        <w:pStyle w:val="NoSpacing"/>
        <w:rPr>
          <w:rFonts w:ascii="Verdana" w:hAnsi="Verdana"/>
        </w:rPr>
      </w:pPr>
      <w:r>
        <w:rPr>
          <w:rFonts w:ascii="Verdana" w:hAnsi="Verdana"/>
        </w:rPr>
        <w:t>Values and Culture in Fire and Rescue Services</w:t>
      </w:r>
      <w:r w:rsidR="00C04643">
        <w:rPr>
          <w:rFonts w:ascii="Verdana" w:hAnsi="Verdana"/>
        </w:rPr>
        <w:t>.</w:t>
      </w:r>
    </w:p>
    <w:p w14:paraId="423FE418" w14:textId="77777777" w:rsidR="00FF37B6" w:rsidRDefault="00FF37B6" w:rsidP="0006758B">
      <w:pPr>
        <w:pStyle w:val="NoSpacing"/>
        <w:rPr>
          <w:rFonts w:ascii="Verdana" w:hAnsi="Verdana"/>
        </w:rPr>
      </w:pPr>
    </w:p>
    <w:p w14:paraId="6774E61A" w14:textId="5FB8CD86" w:rsidR="00FF37B6" w:rsidRDefault="00FF37B6" w:rsidP="0006758B">
      <w:pPr>
        <w:pStyle w:val="NoSpacing"/>
        <w:rPr>
          <w:rFonts w:ascii="Verdana" w:hAnsi="Verdana"/>
        </w:rPr>
      </w:pPr>
    </w:p>
    <w:p w14:paraId="53D073A3" w14:textId="77777777" w:rsidR="0006758B" w:rsidRPr="00C04643" w:rsidRDefault="0006758B" w:rsidP="00C04643">
      <w:pPr>
        <w:pStyle w:val="NoSpacing"/>
        <w:rPr>
          <w:rFonts w:ascii="Verdana" w:hAnsi="Verdana"/>
        </w:rPr>
      </w:pPr>
    </w:p>
    <w:p w14:paraId="4BD665B8" w14:textId="77777777" w:rsidR="0006758B" w:rsidRDefault="0006758B" w:rsidP="00B144AF">
      <w:pPr>
        <w:pStyle w:val="ListParagraph"/>
        <w:ind w:left="284" w:hanging="284"/>
      </w:pPr>
    </w:p>
    <w:sectPr w:rsidR="0006758B" w:rsidSect="00B3272B">
      <w:headerReference w:type="default" r:id="rId15"/>
      <w:footerReference w:type="default" r:id="rId16"/>
      <w:pgSz w:w="11906" w:h="16838"/>
      <w:pgMar w:top="1440" w:right="1440" w:bottom="1440" w:left="1440" w:header="708" w:footer="708" w:gutter="0"/>
      <w:pgBorders w:offsetFrom="page">
        <w:top w:val="single" w:sz="4" w:space="24" w:color="8DB3E2" w:themeColor="text2" w:themeTint="66"/>
        <w:left w:val="single" w:sz="4" w:space="24" w:color="8DB3E2" w:themeColor="text2" w:themeTint="66"/>
        <w:bottom w:val="single" w:sz="4" w:space="24" w:color="8DB3E2" w:themeColor="text2" w:themeTint="66"/>
        <w:right w:val="single" w:sz="4" w:space="24" w:color="8DB3E2"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4F51" w14:textId="77777777" w:rsidR="00DC58A3" w:rsidRDefault="00DC58A3" w:rsidP="00B3272B">
      <w:pPr>
        <w:spacing w:after="0" w:line="240" w:lineRule="auto"/>
      </w:pPr>
      <w:r>
        <w:separator/>
      </w:r>
    </w:p>
  </w:endnote>
  <w:endnote w:type="continuationSeparator" w:id="0">
    <w:p w14:paraId="7B5A9FAE" w14:textId="77777777" w:rsidR="00DC58A3" w:rsidRDefault="00DC58A3" w:rsidP="00B32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LCJM P+ Helvetica Neue L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0636" w14:textId="77777777" w:rsidR="00307849" w:rsidRDefault="00307849" w:rsidP="00307849">
    <w:pPr>
      <w:pStyle w:val="Header"/>
    </w:pPr>
    <w:r>
      <w:t xml:space="preserve">     </w:t>
    </w:r>
  </w:p>
  <w:p w14:paraId="08BA2ACC" w14:textId="77777777" w:rsidR="00981C11" w:rsidRDefault="00981C11" w:rsidP="00307849">
    <w:pPr>
      <w:pStyle w:val="Header"/>
    </w:pPr>
  </w:p>
  <w:p w14:paraId="2DD22E04" w14:textId="03810C1B" w:rsidR="00981C11" w:rsidRDefault="00981C11" w:rsidP="00307849">
    <w:pPr>
      <w:pStyle w:val="Header"/>
    </w:pPr>
    <w:r>
      <w:t>OPCC Annual Compliance Report</w:t>
    </w:r>
  </w:p>
  <w:p w14:paraId="3EF11F4F" w14:textId="36E49ACE" w:rsidR="00B3272B" w:rsidRDefault="00FC6F42" w:rsidP="00307849">
    <w:pPr>
      <w:pStyle w:val="Header"/>
    </w:pPr>
    <w:r>
      <w:t>2023</w:t>
    </w:r>
    <w:r w:rsidR="00B3272B">
      <w:tab/>
    </w:r>
    <w:r w:rsidR="00B3272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D654" w14:textId="77777777" w:rsidR="00DC58A3" w:rsidRDefault="00DC58A3" w:rsidP="00B3272B">
      <w:pPr>
        <w:spacing w:after="0" w:line="240" w:lineRule="auto"/>
      </w:pPr>
      <w:r>
        <w:separator/>
      </w:r>
    </w:p>
  </w:footnote>
  <w:footnote w:type="continuationSeparator" w:id="0">
    <w:p w14:paraId="33DB46AA" w14:textId="77777777" w:rsidR="00DC58A3" w:rsidRDefault="00DC58A3" w:rsidP="00B32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D3C6" w14:textId="494C9751" w:rsidR="00E43C98" w:rsidRDefault="00E43C98" w:rsidP="00F41491">
    <w:pPr>
      <w:pStyle w:val="Header"/>
    </w:pPr>
    <w:r w:rsidRPr="00347117">
      <w:rPr>
        <w:noProof/>
      </w:rPr>
      <w:drawing>
        <wp:inline distT="0" distB="0" distL="0" distR="0" wp14:anchorId="7EFA8430" wp14:editId="6BAE190D">
          <wp:extent cx="1905000" cy="840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628" cy="856159"/>
                  </a:xfrm>
                  <a:prstGeom prst="rect">
                    <a:avLst/>
                  </a:prstGeom>
                  <a:noFill/>
                </pic:spPr>
              </pic:pic>
            </a:graphicData>
          </a:graphic>
        </wp:inline>
      </w:drawing>
    </w:r>
    <w:r w:rsidR="00F41491">
      <w:tab/>
    </w:r>
    <w:r w:rsidR="00F41491">
      <w:tab/>
    </w:r>
  </w:p>
  <w:p w14:paraId="24624298" w14:textId="0CA5B597" w:rsidR="00DA2CC8" w:rsidRDefault="00E43C98" w:rsidP="00E43C98">
    <w:pPr>
      <w:pStyle w:val="Header"/>
      <w:jc w:val="center"/>
    </w:pPr>
    <w:r>
      <w:t>S</w:t>
    </w:r>
    <w:r w:rsidR="00215769">
      <w:t>WYDDOGOL OFFICIAL</w:t>
    </w:r>
  </w:p>
  <w:p w14:paraId="68A1936A" w14:textId="77777777" w:rsidR="00307849" w:rsidRDefault="00307849" w:rsidP="00307849">
    <w:pPr>
      <w:pStyle w:val="Header"/>
      <w:jc w:val="center"/>
    </w:pPr>
    <w:proofErr w:type="spellStart"/>
    <w:proofErr w:type="gramStart"/>
    <w:r>
      <w:t>Gweithredol</w:t>
    </w:r>
    <w:proofErr w:type="spellEnd"/>
    <w:r>
      <w:t xml:space="preserve">  Operational</w:t>
    </w:r>
    <w:proofErr w:type="gramEnd"/>
  </w:p>
  <w:p w14:paraId="19A12D51" w14:textId="77777777" w:rsidR="00236B0D" w:rsidRDefault="00236B0D" w:rsidP="00236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928"/>
    <w:multiLevelType w:val="hybridMultilevel"/>
    <w:tmpl w:val="9370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1AA5"/>
    <w:multiLevelType w:val="hybridMultilevel"/>
    <w:tmpl w:val="E61C48E8"/>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abstractNum w:abstractNumId="2" w15:restartNumberingAfterBreak="0">
    <w:nsid w:val="08874780"/>
    <w:multiLevelType w:val="hybridMultilevel"/>
    <w:tmpl w:val="8DEC41AE"/>
    <w:lvl w:ilvl="0" w:tplc="0DCE102E">
      <w:start w:val="1"/>
      <w:numFmt w:val="bullet"/>
      <w:lvlText w:val="•"/>
      <w:lvlJc w:val="left"/>
      <w:pPr>
        <w:tabs>
          <w:tab w:val="num" w:pos="720"/>
        </w:tabs>
        <w:ind w:left="720" w:hanging="360"/>
      </w:pPr>
      <w:rPr>
        <w:rFonts w:ascii="Arial" w:hAnsi="Arial" w:hint="default"/>
      </w:rPr>
    </w:lvl>
    <w:lvl w:ilvl="1" w:tplc="0E9610EA" w:tentative="1">
      <w:start w:val="1"/>
      <w:numFmt w:val="bullet"/>
      <w:lvlText w:val="•"/>
      <w:lvlJc w:val="left"/>
      <w:pPr>
        <w:tabs>
          <w:tab w:val="num" w:pos="1440"/>
        </w:tabs>
        <w:ind w:left="1440" w:hanging="360"/>
      </w:pPr>
      <w:rPr>
        <w:rFonts w:ascii="Arial" w:hAnsi="Arial" w:hint="default"/>
      </w:rPr>
    </w:lvl>
    <w:lvl w:ilvl="2" w:tplc="45C87CB4" w:tentative="1">
      <w:start w:val="1"/>
      <w:numFmt w:val="bullet"/>
      <w:lvlText w:val="•"/>
      <w:lvlJc w:val="left"/>
      <w:pPr>
        <w:tabs>
          <w:tab w:val="num" w:pos="2160"/>
        </w:tabs>
        <w:ind w:left="2160" w:hanging="360"/>
      </w:pPr>
      <w:rPr>
        <w:rFonts w:ascii="Arial" w:hAnsi="Arial" w:hint="default"/>
      </w:rPr>
    </w:lvl>
    <w:lvl w:ilvl="3" w:tplc="803616CA" w:tentative="1">
      <w:start w:val="1"/>
      <w:numFmt w:val="bullet"/>
      <w:lvlText w:val="•"/>
      <w:lvlJc w:val="left"/>
      <w:pPr>
        <w:tabs>
          <w:tab w:val="num" w:pos="2880"/>
        </w:tabs>
        <w:ind w:left="2880" w:hanging="360"/>
      </w:pPr>
      <w:rPr>
        <w:rFonts w:ascii="Arial" w:hAnsi="Arial" w:hint="default"/>
      </w:rPr>
    </w:lvl>
    <w:lvl w:ilvl="4" w:tplc="A89AC0CC" w:tentative="1">
      <w:start w:val="1"/>
      <w:numFmt w:val="bullet"/>
      <w:lvlText w:val="•"/>
      <w:lvlJc w:val="left"/>
      <w:pPr>
        <w:tabs>
          <w:tab w:val="num" w:pos="3600"/>
        </w:tabs>
        <w:ind w:left="3600" w:hanging="360"/>
      </w:pPr>
      <w:rPr>
        <w:rFonts w:ascii="Arial" w:hAnsi="Arial" w:hint="default"/>
      </w:rPr>
    </w:lvl>
    <w:lvl w:ilvl="5" w:tplc="CCC41020" w:tentative="1">
      <w:start w:val="1"/>
      <w:numFmt w:val="bullet"/>
      <w:lvlText w:val="•"/>
      <w:lvlJc w:val="left"/>
      <w:pPr>
        <w:tabs>
          <w:tab w:val="num" w:pos="4320"/>
        </w:tabs>
        <w:ind w:left="4320" w:hanging="360"/>
      </w:pPr>
      <w:rPr>
        <w:rFonts w:ascii="Arial" w:hAnsi="Arial" w:hint="default"/>
      </w:rPr>
    </w:lvl>
    <w:lvl w:ilvl="6" w:tplc="148A4186" w:tentative="1">
      <w:start w:val="1"/>
      <w:numFmt w:val="bullet"/>
      <w:lvlText w:val="•"/>
      <w:lvlJc w:val="left"/>
      <w:pPr>
        <w:tabs>
          <w:tab w:val="num" w:pos="5040"/>
        </w:tabs>
        <w:ind w:left="5040" w:hanging="360"/>
      </w:pPr>
      <w:rPr>
        <w:rFonts w:ascii="Arial" w:hAnsi="Arial" w:hint="default"/>
      </w:rPr>
    </w:lvl>
    <w:lvl w:ilvl="7" w:tplc="3AC89322" w:tentative="1">
      <w:start w:val="1"/>
      <w:numFmt w:val="bullet"/>
      <w:lvlText w:val="•"/>
      <w:lvlJc w:val="left"/>
      <w:pPr>
        <w:tabs>
          <w:tab w:val="num" w:pos="5760"/>
        </w:tabs>
        <w:ind w:left="5760" w:hanging="360"/>
      </w:pPr>
      <w:rPr>
        <w:rFonts w:ascii="Arial" w:hAnsi="Arial" w:hint="default"/>
      </w:rPr>
    </w:lvl>
    <w:lvl w:ilvl="8" w:tplc="1812D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752BC6"/>
    <w:multiLevelType w:val="hybridMultilevel"/>
    <w:tmpl w:val="F5B6D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BB480E"/>
    <w:multiLevelType w:val="hybridMultilevel"/>
    <w:tmpl w:val="1966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12A7"/>
    <w:multiLevelType w:val="hybridMultilevel"/>
    <w:tmpl w:val="8F4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93E65"/>
    <w:multiLevelType w:val="hybridMultilevel"/>
    <w:tmpl w:val="C364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D1C29"/>
    <w:multiLevelType w:val="multilevel"/>
    <w:tmpl w:val="05643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54A9E"/>
    <w:multiLevelType w:val="hybridMultilevel"/>
    <w:tmpl w:val="BCEA0CF6"/>
    <w:lvl w:ilvl="0" w:tplc="8EB8CD18">
      <w:start w:val="1"/>
      <w:numFmt w:val="bullet"/>
      <w:lvlText w:val="•"/>
      <w:lvlJc w:val="left"/>
      <w:pPr>
        <w:tabs>
          <w:tab w:val="num" w:pos="720"/>
        </w:tabs>
        <w:ind w:left="720" w:hanging="360"/>
      </w:pPr>
      <w:rPr>
        <w:rFonts w:ascii="Arial" w:hAnsi="Arial" w:hint="default"/>
      </w:rPr>
    </w:lvl>
    <w:lvl w:ilvl="1" w:tplc="A0520E48" w:tentative="1">
      <w:start w:val="1"/>
      <w:numFmt w:val="bullet"/>
      <w:lvlText w:val="•"/>
      <w:lvlJc w:val="left"/>
      <w:pPr>
        <w:tabs>
          <w:tab w:val="num" w:pos="1440"/>
        </w:tabs>
        <w:ind w:left="1440" w:hanging="360"/>
      </w:pPr>
      <w:rPr>
        <w:rFonts w:ascii="Arial" w:hAnsi="Arial" w:hint="default"/>
      </w:rPr>
    </w:lvl>
    <w:lvl w:ilvl="2" w:tplc="53FA368C" w:tentative="1">
      <w:start w:val="1"/>
      <w:numFmt w:val="bullet"/>
      <w:lvlText w:val="•"/>
      <w:lvlJc w:val="left"/>
      <w:pPr>
        <w:tabs>
          <w:tab w:val="num" w:pos="2160"/>
        </w:tabs>
        <w:ind w:left="2160" w:hanging="360"/>
      </w:pPr>
      <w:rPr>
        <w:rFonts w:ascii="Arial" w:hAnsi="Arial" w:hint="default"/>
      </w:rPr>
    </w:lvl>
    <w:lvl w:ilvl="3" w:tplc="F7B478E8" w:tentative="1">
      <w:start w:val="1"/>
      <w:numFmt w:val="bullet"/>
      <w:lvlText w:val="•"/>
      <w:lvlJc w:val="left"/>
      <w:pPr>
        <w:tabs>
          <w:tab w:val="num" w:pos="2880"/>
        </w:tabs>
        <w:ind w:left="2880" w:hanging="360"/>
      </w:pPr>
      <w:rPr>
        <w:rFonts w:ascii="Arial" w:hAnsi="Arial" w:hint="default"/>
      </w:rPr>
    </w:lvl>
    <w:lvl w:ilvl="4" w:tplc="BFEA0D74" w:tentative="1">
      <w:start w:val="1"/>
      <w:numFmt w:val="bullet"/>
      <w:lvlText w:val="•"/>
      <w:lvlJc w:val="left"/>
      <w:pPr>
        <w:tabs>
          <w:tab w:val="num" w:pos="3600"/>
        </w:tabs>
        <w:ind w:left="3600" w:hanging="360"/>
      </w:pPr>
      <w:rPr>
        <w:rFonts w:ascii="Arial" w:hAnsi="Arial" w:hint="default"/>
      </w:rPr>
    </w:lvl>
    <w:lvl w:ilvl="5" w:tplc="668458FC" w:tentative="1">
      <w:start w:val="1"/>
      <w:numFmt w:val="bullet"/>
      <w:lvlText w:val="•"/>
      <w:lvlJc w:val="left"/>
      <w:pPr>
        <w:tabs>
          <w:tab w:val="num" w:pos="4320"/>
        </w:tabs>
        <w:ind w:left="4320" w:hanging="360"/>
      </w:pPr>
      <w:rPr>
        <w:rFonts w:ascii="Arial" w:hAnsi="Arial" w:hint="default"/>
      </w:rPr>
    </w:lvl>
    <w:lvl w:ilvl="6" w:tplc="2AF447DE" w:tentative="1">
      <w:start w:val="1"/>
      <w:numFmt w:val="bullet"/>
      <w:lvlText w:val="•"/>
      <w:lvlJc w:val="left"/>
      <w:pPr>
        <w:tabs>
          <w:tab w:val="num" w:pos="5040"/>
        </w:tabs>
        <w:ind w:left="5040" w:hanging="360"/>
      </w:pPr>
      <w:rPr>
        <w:rFonts w:ascii="Arial" w:hAnsi="Arial" w:hint="default"/>
      </w:rPr>
    </w:lvl>
    <w:lvl w:ilvl="7" w:tplc="6D6C3BF4" w:tentative="1">
      <w:start w:val="1"/>
      <w:numFmt w:val="bullet"/>
      <w:lvlText w:val="•"/>
      <w:lvlJc w:val="left"/>
      <w:pPr>
        <w:tabs>
          <w:tab w:val="num" w:pos="5760"/>
        </w:tabs>
        <w:ind w:left="5760" w:hanging="360"/>
      </w:pPr>
      <w:rPr>
        <w:rFonts w:ascii="Arial" w:hAnsi="Arial" w:hint="default"/>
      </w:rPr>
    </w:lvl>
    <w:lvl w:ilvl="8" w:tplc="78ACE5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9D6507"/>
    <w:multiLevelType w:val="hybridMultilevel"/>
    <w:tmpl w:val="EE4E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5F599C"/>
    <w:multiLevelType w:val="hybridMultilevel"/>
    <w:tmpl w:val="09E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35347"/>
    <w:multiLevelType w:val="hybridMultilevel"/>
    <w:tmpl w:val="8AAC7B38"/>
    <w:lvl w:ilvl="0" w:tplc="2F9A7AE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2434205A"/>
    <w:multiLevelType w:val="hybridMultilevel"/>
    <w:tmpl w:val="8C5A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F3ED4"/>
    <w:multiLevelType w:val="hybridMultilevel"/>
    <w:tmpl w:val="06E82FE2"/>
    <w:lvl w:ilvl="0" w:tplc="6324D9D4">
      <w:start w:val="1"/>
      <w:numFmt w:val="bullet"/>
      <w:lvlText w:val="•"/>
      <w:lvlJc w:val="left"/>
      <w:pPr>
        <w:tabs>
          <w:tab w:val="num" w:pos="720"/>
        </w:tabs>
        <w:ind w:left="720" w:hanging="360"/>
      </w:pPr>
      <w:rPr>
        <w:rFonts w:ascii="Arial" w:hAnsi="Arial" w:hint="default"/>
      </w:rPr>
    </w:lvl>
    <w:lvl w:ilvl="1" w:tplc="1650489E" w:tentative="1">
      <w:start w:val="1"/>
      <w:numFmt w:val="bullet"/>
      <w:lvlText w:val="•"/>
      <w:lvlJc w:val="left"/>
      <w:pPr>
        <w:tabs>
          <w:tab w:val="num" w:pos="1440"/>
        </w:tabs>
        <w:ind w:left="1440" w:hanging="360"/>
      </w:pPr>
      <w:rPr>
        <w:rFonts w:ascii="Arial" w:hAnsi="Arial" w:hint="default"/>
      </w:rPr>
    </w:lvl>
    <w:lvl w:ilvl="2" w:tplc="3336EA50" w:tentative="1">
      <w:start w:val="1"/>
      <w:numFmt w:val="bullet"/>
      <w:lvlText w:val="•"/>
      <w:lvlJc w:val="left"/>
      <w:pPr>
        <w:tabs>
          <w:tab w:val="num" w:pos="2160"/>
        </w:tabs>
        <w:ind w:left="2160" w:hanging="360"/>
      </w:pPr>
      <w:rPr>
        <w:rFonts w:ascii="Arial" w:hAnsi="Arial" w:hint="default"/>
      </w:rPr>
    </w:lvl>
    <w:lvl w:ilvl="3" w:tplc="A99A02DA" w:tentative="1">
      <w:start w:val="1"/>
      <w:numFmt w:val="bullet"/>
      <w:lvlText w:val="•"/>
      <w:lvlJc w:val="left"/>
      <w:pPr>
        <w:tabs>
          <w:tab w:val="num" w:pos="2880"/>
        </w:tabs>
        <w:ind w:left="2880" w:hanging="360"/>
      </w:pPr>
      <w:rPr>
        <w:rFonts w:ascii="Arial" w:hAnsi="Arial" w:hint="default"/>
      </w:rPr>
    </w:lvl>
    <w:lvl w:ilvl="4" w:tplc="DDE8D244" w:tentative="1">
      <w:start w:val="1"/>
      <w:numFmt w:val="bullet"/>
      <w:lvlText w:val="•"/>
      <w:lvlJc w:val="left"/>
      <w:pPr>
        <w:tabs>
          <w:tab w:val="num" w:pos="3600"/>
        </w:tabs>
        <w:ind w:left="3600" w:hanging="360"/>
      </w:pPr>
      <w:rPr>
        <w:rFonts w:ascii="Arial" w:hAnsi="Arial" w:hint="default"/>
      </w:rPr>
    </w:lvl>
    <w:lvl w:ilvl="5" w:tplc="3244A554" w:tentative="1">
      <w:start w:val="1"/>
      <w:numFmt w:val="bullet"/>
      <w:lvlText w:val="•"/>
      <w:lvlJc w:val="left"/>
      <w:pPr>
        <w:tabs>
          <w:tab w:val="num" w:pos="4320"/>
        </w:tabs>
        <w:ind w:left="4320" w:hanging="360"/>
      </w:pPr>
      <w:rPr>
        <w:rFonts w:ascii="Arial" w:hAnsi="Arial" w:hint="default"/>
      </w:rPr>
    </w:lvl>
    <w:lvl w:ilvl="6" w:tplc="185A91B0" w:tentative="1">
      <w:start w:val="1"/>
      <w:numFmt w:val="bullet"/>
      <w:lvlText w:val="•"/>
      <w:lvlJc w:val="left"/>
      <w:pPr>
        <w:tabs>
          <w:tab w:val="num" w:pos="5040"/>
        </w:tabs>
        <w:ind w:left="5040" w:hanging="360"/>
      </w:pPr>
      <w:rPr>
        <w:rFonts w:ascii="Arial" w:hAnsi="Arial" w:hint="default"/>
      </w:rPr>
    </w:lvl>
    <w:lvl w:ilvl="7" w:tplc="A51A6E86" w:tentative="1">
      <w:start w:val="1"/>
      <w:numFmt w:val="bullet"/>
      <w:lvlText w:val="•"/>
      <w:lvlJc w:val="left"/>
      <w:pPr>
        <w:tabs>
          <w:tab w:val="num" w:pos="5760"/>
        </w:tabs>
        <w:ind w:left="5760" w:hanging="360"/>
      </w:pPr>
      <w:rPr>
        <w:rFonts w:ascii="Arial" w:hAnsi="Arial" w:hint="default"/>
      </w:rPr>
    </w:lvl>
    <w:lvl w:ilvl="8" w:tplc="77AC9A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AC5277"/>
    <w:multiLevelType w:val="hybridMultilevel"/>
    <w:tmpl w:val="A7E6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461C4"/>
    <w:multiLevelType w:val="hybridMultilevel"/>
    <w:tmpl w:val="DA56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F1CB6"/>
    <w:multiLevelType w:val="hybridMultilevel"/>
    <w:tmpl w:val="3DD8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30296A"/>
    <w:multiLevelType w:val="hybridMultilevel"/>
    <w:tmpl w:val="EE469BA8"/>
    <w:lvl w:ilvl="0" w:tplc="E7A8A9C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C44E0"/>
    <w:multiLevelType w:val="hybridMultilevel"/>
    <w:tmpl w:val="318E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81860"/>
    <w:multiLevelType w:val="multilevel"/>
    <w:tmpl w:val="82F8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75968"/>
    <w:multiLevelType w:val="hybridMultilevel"/>
    <w:tmpl w:val="8BD0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23CC9"/>
    <w:multiLevelType w:val="hybridMultilevel"/>
    <w:tmpl w:val="FE84C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94B78"/>
    <w:multiLevelType w:val="hybridMultilevel"/>
    <w:tmpl w:val="183E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C0566"/>
    <w:multiLevelType w:val="hybridMultilevel"/>
    <w:tmpl w:val="033ECE6E"/>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4" w15:restartNumberingAfterBreak="0">
    <w:nsid w:val="579544DD"/>
    <w:multiLevelType w:val="hybridMultilevel"/>
    <w:tmpl w:val="6F22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E1EC2"/>
    <w:multiLevelType w:val="hybridMultilevel"/>
    <w:tmpl w:val="7906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F3EC2"/>
    <w:multiLevelType w:val="hybridMultilevel"/>
    <w:tmpl w:val="C57CA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9A66F2"/>
    <w:multiLevelType w:val="hybridMultilevel"/>
    <w:tmpl w:val="307ED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737305"/>
    <w:multiLevelType w:val="hybridMultilevel"/>
    <w:tmpl w:val="06983D2C"/>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abstractNum w:abstractNumId="29" w15:restartNumberingAfterBreak="0">
    <w:nsid w:val="70814E1F"/>
    <w:multiLevelType w:val="hybridMultilevel"/>
    <w:tmpl w:val="455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F76EB"/>
    <w:multiLevelType w:val="hybridMultilevel"/>
    <w:tmpl w:val="DD58F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E7C31"/>
    <w:multiLevelType w:val="hybridMultilevel"/>
    <w:tmpl w:val="584A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E542B"/>
    <w:multiLevelType w:val="hybridMultilevel"/>
    <w:tmpl w:val="79F66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A1EEF"/>
    <w:multiLevelType w:val="hybridMultilevel"/>
    <w:tmpl w:val="7AF8F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720C1"/>
    <w:multiLevelType w:val="hybridMultilevel"/>
    <w:tmpl w:val="7618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26358"/>
    <w:multiLevelType w:val="multilevel"/>
    <w:tmpl w:val="62862716"/>
    <w:lvl w:ilvl="0">
      <w:start w:val="1"/>
      <w:numFmt w:val="decimal"/>
      <w:pStyle w:val="Heading10"/>
      <w:lvlText w:val="%1."/>
      <w:lvlJc w:val="left"/>
      <w:pPr>
        <w:ind w:left="360" w:hanging="360"/>
      </w:pPr>
    </w:lvl>
    <w:lvl w:ilvl="1">
      <w:start w:val="1"/>
      <w:numFmt w:val="decimal"/>
      <w:pStyle w:val="Heading11"/>
      <w:isLgl/>
      <w:lvlText w:val="%1.%2"/>
      <w:lvlJc w:val="left"/>
      <w:pPr>
        <w:ind w:left="502"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97914861">
    <w:abstractNumId w:val="6"/>
  </w:num>
  <w:num w:numId="2" w16cid:durableId="1892499212">
    <w:abstractNumId w:val="22"/>
  </w:num>
  <w:num w:numId="3" w16cid:durableId="1783915782">
    <w:abstractNumId w:val="29"/>
  </w:num>
  <w:num w:numId="4" w16cid:durableId="1228109173">
    <w:abstractNumId w:val="4"/>
  </w:num>
  <w:num w:numId="5" w16cid:durableId="1588612029">
    <w:abstractNumId w:val="24"/>
  </w:num>
  <w:num w:numId="6" w16cid:durableId="1188055714">
    <w:abstractNumId w:val="18"/>
  </w:num>
  <w:num w:numId="7" w16cid:durableId="1945263270">
    <w:abstractNumId w:val="21"/>
  </w:num>
  <w:num w:numId="8" w16cid:durableId="285434781">
    <w:abstractNumId w:val="30"/>
  </w:num>
  <w:num w:numId="9" w16cid:durableId="332881004">
    <w:abstractNumId w:val="33"/>
  </w:num>
  <w:num w:numId="10" w16cid:durableId="363795180">
    <w:abstractNumId w:val="25"/>
  </w:num>
  <w:num w:numId="11" w16cid:durableId="920524644">
    <w:abstractNumId w:val="31"/>
  </w:num>
  <w:num w:numId="12" w16cid:durableId="1851750653">
    <w:abstractNumId w:val="20"/>
  </w:num>
  <w:num w:numId="13" w16cid:durableId="389116486">
    <w:abstractNumId w:val="34"/>
  </w:num>
  <w:num w:numId="14" w16cid:durableId="1375152443">
    <w:abstractNumId w:val="3"/>
  </w:num>
  <w:num w:numId="15" w16cid:durableId="2130198905">
    <w:abstractNumId w:val="19"/>
  </w:num>
  <w:num w:numId="16" w16cid:durableId="1728458260">
    <w:abstractNumId w:val="14"/>
  </w:num>
  <w:num w:numId="17" w16cid:durableId="104229985">
    <w:abstractNumId w:val="13"/>
  </w:num>
  <w:num w:numId="18" w16cid:durableId="2073385425">
    <w:abstractNumId w:val="8"/>
  </w:num>
  <w:num w:numId="19" w16cid:durableId="7759536">
    <w:abstractNumId w:val="2"/>
  </w:num>
  <w:num w:numId="20" w16cid:durableId="403453582">
    <w:abstractNumId w:val="5"/>
  </w:num>
  <w:num w:numId="21" w16cid:durableId="139933031">
    <w:abstractNumId w:val="12"/>
  </w:num>
  <w:num w:numId="22" w16cid:durableId="576282470">
    <w:abstractNumId w:val="10"/>
  </w:num>
  <w:num w:numId="23" w16cid:durableId="520894425">
    <w:abstractNumId w:val="32"/>
  </w:num>
  <w:num w:numId="24" w16cid:durableId="902713501">
    <w:abstractNumId w:val="26"/>
  </w:num>
  <w:num w:numId="25" w16cid:durableId="563220489">
    <w:abstractNumId w:val="17"/>
  </w:num>
  <w:num w:numId="26" w16cid:durableId="707604161">
    <w:abstractNumId w:val="9"/>
  </w:num>
  <w:num w:numId="27" w16cid:durableId="13009132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3625571">
    <w:abstractNumId w:val="16"/>
  </w:num>
  <w:num w:numId="29" w16cid:durableId="1327980906">
    <w:abstractNumId w:val="0"/>
  </w:num>
  <w:num w:numId="30" w16cid:durableId="1837456025">
    <w:abstractNumId w:val="7"/>
  </w:num>
  <w:num w:numId="31" w16cid:durableId="553350537">
    <w:abstractNumId w:val="27"/>
  </w:num>
  <w:num w:numId="32" w16cid:durableId="981888898">
    <w:abstractNumId w:val="28"/>
  </w:num>
  <w:num w:numId="33" w16cid:durableId="859125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7825762">
    <w:abstractNumId w:val="23"/>
  </w:num>
  <w:num w:numId="35" w16cid:durableId="578827684">
    <w:abstractNumId w:val="11"/>
  </w:num>
  <w:num w:numId="36" w16cid:durableId="15570101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B7"/>
    <w:rsid w:val="000065D7"/>
    <w:rsid w:val="00011BFB"/>
    <w:rsid w:val="0001328D"/>
    <w:rsid w:val="00017C5E"/>
    <w:rsid w:val="0003304D"/>
    <w:rsid w:val="000417A6"/>
    <w:rsid w:val="0004184C"/>
    <w:rsid w:val="00043640"/>
    <w:rsid w:val="000444A0"/>
    <w:rsid w:val="000527A0"/>
    <w:rsid w:val="00054392"/>
    <w:rsid w:val="0005590B"/>
    <w:rsid w:val="000610BB"/>
    <w:rsid w:val="0006758B"/>
    <w:rsid w:val="00072A4B"/>
    <w:rsid w:val="00087847"/>
    <w:rsid w:val="00092C74"/>
    <w:rsid w:val="00093F04"/>
    <w:rsid w:val="000A1844"/>
    <w:rsid w:val="000B1A0C"/>
    <w:rsid w:val="000B1E74"/>
    <w:rsid w:val="000B3302"/>
    <w:rsid w:val="000B37FA"/>
    <w:rsid w:val="000B4B87"/>
    <w:rsid w:val="000C428D"/>
    <w:rsid w:val="000C6B7C"/>
    <w:rsid w:val="000D34E0"/>
    <w:rsid w:val="000D58BF"/>
    <w:rsid w:val="000D5B79"/>
    <w:rsid w:val="000D7359"/>
    <w:rsid w:val="000D799D"/>
    <w:rsid w:val="000E08BD"/>
    <w:rsid w:val="000E3311"/>
    <w:rsid w:val="000E43EF"/>
    <w:rsid w:val="000F418F"/>
    <w:rsid w:val="000F41EA"/>
    <w:rsid w:val="000F41FD"/>
    <w:rsid w:val="00103E65"/>
    <w:rsid w:val="00110489"/>
    <w:rsid w:val="001127B3"/>
    <w:rsid w:val="001305F3"/>
    <w:rsid w:val="001311AA"/>
    <w:rsid w:val="001311B6"/>
    <w:rsid w:val="00133901"/>
    <w:rsid w:val="00141A02"/>
    <w:rsid w:val="001423E1"/>
    <w:rsid w:val="00143F6A"/>
    <w:rsid w:val="00144D80"/>
    <w:rsid w:val="00155318"/>
    <w:rsid w:val="00162065"/>
    <w:rsid w:val="00166D24"/>
    <w:rsid w:val="00167186"/>
    <w:rsid w:val="00172019"/>
    <w:rsid w:val="00183344"/>
    <w:rsid w:val="00185744"/>
    <w:rsid w:val="0019392A"/>
    <w:rsid w:val="0019710A"/>
    <w:rsid w:val="001B4DDD"/>
    <w:rsid w:val="001B79FE"/>
    <w:rsid w:val="001B7D82"/>
    <w:rsid w:val="001C2908"/>
    <w:rsid w:val="001C5889"/>
    <w:rsid w:val="001C79EB"/>
    <w:rsid w:val="001D1E28"/>
    <w:rsid w:val="001D423C"/>
    <w:rsid w:val="001E2500"/>
    <w:rsid w:val="001E4F2C"/>
    <w:rsid w:val="001F2788"/>
    <w:rsid w:val="001F7962"/>
    <w:rsid w:val="0020247C"/>
    <w:rsid w:val="00202E68"/>
    <w:rsid w:val="002063C6"/>
    <w:rsid w:val="002100F7"/>
    <w:rsid w:val="00214BD1"/>
    <w:rsid w:val="00215769"/>
    <w:rsid w:val="0021681A"/>
    <w:rsid w:val="00222047"/>
    <w:rsid w:val="00222CCF"/>
    <w:rsid w:val="00236029"/>
    <w:rsid w:val="00236AA4"/>
    <w:rsid w:val="00236B0D"/>
    <w:rsid w:val="00242039"/>
    <w:rsid w:val="00242B33"/>
    <w:rsid w:val="002556EB"/>
    <w:rsid w:val="00263693"/>
    <w:rsid w:val="0026587C"/>
    <w:rsid w:val="002723C6"/>
    <w:rsid w:val="0028040D"/>
    <w:rsid w:val="00282697"/>
    <w:rsid w:val="00285CB7"/>
    <w:rsid w:val="00292EED"/>
    <w:rsid w:val="002952DD"/>
    <w:rsid w:val="00296410"/>
    <w:rsid w:val="002A0582"/>
    <w:rsid w:val="002A1F23"/>
    <w:rsid w:val="002A3770"/>
    <w:rsid w:val="002B2BB6"/>
    <w:rsid w:val="002B5AE4"/>
    <w:rsid w:val="002C21ED"/>
    <w:rsid w:val="002C2D4F"/>
    <w:rsid w:val="002E03A0"/>
    <w:rsid w:val="002E2A47"/>
    <w:rsid w:val="002F1436"/>
    <w:rsid w:val="002F7ADD"/>
    <w:rsid w:val="00305936"/>
    <w:rsid w:val="00307849"/>
    <w:rsid w:val="00310C95"/>
    <w:rsid w:val="0031311B"/>
    <w:rsid w:val="003360B8"/>
    <w:rsid w:val="003419B3"/>
    <w:rsid w:val="00345173"/>
    <w:rsid w:val="00345207"/>
    <w:rsid w:val="0034547C"/>
    <w:rsid w:val="0034792E"/>
    <w:rsid w:val="00361D52"/>
    <w:rsid w:val="00365E78"/>
    <w:rsid w:val="00385F63"/>
    <w:rsid w:val="003A6392"/>
    <w:rsid w:val="003A6F2D"/>
    <w:rsid w:val="003A6F70"/>
    <w:rsid w:val="003B254B"/>
    <w:rsid w:val="003B366C"/>
    <w:rsid w:val="003B44AB"/>
    <w:rsid w:val="003C2BF6"/>
    <w:rsid w:val="003C40D7"/>
    <w:rsid w:val="003E0D0B"/>
    <w:rsid w:val="003E62E5"/>
    <w:rsid w:val="003E76C4"/>
    <w:rsid w:val="003F361E"/>
    <w:rsid w:val="003F3656"/>
    <w:rsid w:val="00406C9D"/>
    <w:rsid w:val="00410388"/>
    <w:rsid w:val="004105FF"/>
    <w:rsid w:val="0041589D"/>
    <w:rsid w:val="004254E2"/>
    <w:rsid w:val="00436529"/>
    <w:rsid w:val="00436538"/>
    <w:rsid w:val="004449FE"/>
    <w:rsid w:val="004742C8"/>
    <w:rsid w:val="00477746"/>
    <w:rsid w:val="004824A3"/>
    <w:rsid w:val="004A217B"/>
    <w:rsid w:val="004A7F3E"/>
    <w:rsid w:val="004B0B52"/>
    <w:rsid w:val="004B1388"/>
    <w:rsid w:val="004B4C9E"/>
    <w:rsid w:val="004B5DB9"/>
    <w:rsid w:val="004C36B7"/>
    <w:rsid w:val="004C5B97"/>
    <w:rsid w:val="004D07F5"/>
    <w:rsid w:val="004D4AD1"/>
    <w:rsid w:val="00501CE3"/>
    <w:rsid w:val="005217FF"/>
    <w:rsid w:val="005229CE"/>
    <w:rsid w:val="00532A23"/>
    <w:rsid w:val="00540CF4"/>
    <w:rsid w:val="00544E07"/>
    <w:rsid w:val="00553BB7"/>
    <w:rsid w:val="005619E8"/>
    <w:rsid w:val="005657C9"/>
    <w:rsid w:val="00566B51"/>
    <w:rsid w:val="00571452"/>
    <w:rsid w:val="005872A4"/>
    <w:rsid w:val="005872BE"/>
    <w:rsid w:val="005960EF"/>
    <w:rsid w:val="005B05BB"/>
    <w:rsid w:val="005B1954"/>
    <w:rsid w:val="005B19A1"/>
    <w:rsid w:val="005B2DD2"/>
    <w:rsid w:val="005B3258"/>
    <w:rsid w:val="005C0F42"/>
    <w:rsid w:val="005C46DD"/>
    <w:rsid w:val="005E048D"/>
    <w:rsid w:val="005E5AD6"/>
    <w:rsid w:val="005F6428"/>
    <w:rsid w:val="005F6B6B"/>
    <w:rsid w:val="00606CAE"/>
    <w:rsid w:val="00617F98"/>
    <w:rsid w:val="006246D7"/>
    <w:rsid w:val="00627206"/>
    <w:rsid w:val="00636738"/>
    <w:rsid w:val="00640E74"/>
    <w:rsid w:val="006449EB"/>
    <w:rsid w:val="00654DFB"/>
    <w:rsid w:val="006574C7"/>
    <w:rsid w:val="006601FA"/>
    <w:rsid w:val="0066066F"/>
    <w:rsid w:val="00660C82"/>
    <w:rsid w:val="00660FEE"/>
    <w:rsid w:val="0067073A"/>
    <w:rsid w:val="00673029"/>
    <w:rsid w:val="0067337D"/>
    <w:rsid w:val="006756A0"/>
    <w:rsid w:val="00696BE6"/>
    <w:rsid w:val="006A074A"/>
    <w:rsid w:val="006A1FB0"/>
    <w:rsid w:val="006A7904"/>
    <w:rsid w:val="006B33F8"/>
    <w:rsid w:val="006B3DDE"/>
    <w:rsid w:val="006B4EE0"/>
    <w:rsid w:val="006B5AC6"/>
    <w:rsid w:val="006D036F"/>
    <w:rsid w:val="006E3793"/>
    <w:rsid w:val="006E4820"/>
    <w:rsid w:val="006E52BE"/>
    <w:rsid w:val="006F0AEC"/>
    <w:rsid w:val="006F526C"/>
    <w:rsid w:val="007006C7"/>
    <w:rsid w:val="00702AB6"/>
    <w:rsid w:val="00704481"/>
    <w:rsid w:val="00705EA2"/>
    <w:rsid w:val="00710695"/>
    <w:rsid w:val="007110BA"/>
    <w:rsid w:val="00711D93"/>
    <w:rsid w:val="007138DB"/>
    <w:rsid w:val="007202DC"/>
    <w:rsid w:val="00720D7A"/>
    <w:rsid w:val="00720E74"/>
    <w:rsid w:val="007212E3"/>
    <w:rsid w:val="00725B77"/>
    <w:rsid w:val="0073128A"/>
    <w:rsid w:val="007334ED"/>
    <w:rsid w:val="007373B4"/>
    <w:rsid w:val="00743A39"/>
    <w:rsid w:val="007524BC"/>
    <w:rsid w:val="0076111E"/>
    <w:rsid w:val="00764EA8"/>
    <w:rsid w:val="00767214"/>
    <w:rsid w:val="0077465B"/>
    <w:rsid w:val="0078136E"/>
    <w:rsid w:val="0078390C"/>
    <w:rsid w:val="00784575"/>
    <w:rsid w:val="00790962"/>
    <w:rsid w:val="00794EB4"/>
    <w:rsid w:val="007A690B"/>
    <w:rsid w:val="007B1C68"/>
    <w:rsid w:val="007D2E14"/>
    <w:rsid w:val="007E131F"/>
    <w:rsid w:val="007E2487"/>
    <w:rsid w:val="007F22AB"/>
    <w:rsid w:val="007F5681"/>
    <w:rsid w:val="00801D78"/>
    <w:rsid w:val="00803EB1"/>
    <w:rsid w:val="008055C7"/>
    <w:rsid w:val="008131D4"/>
    <w:rsid w:val="008148A6"/>
    <w:rsid w:val="0081502D"/>
    <w:rsid w:val="00815611"/>
    <w:rsid w:val="00820E47"/>
    <w:rsid w:val="00823338"/>
    <w:rsid w:val="00833912"/>
    <w:rsid w:val="008357CA"/>
    <w:rsid w:val="00836993"/>
    <w:rsid w:val="00846F5F"/>
    <w:rsid w:val="008509BE"/>
    <w:rsid w:val="00850D8E"/>
    <w:rsid w:val="00856A81"/>
    <w:rsid w:val="00860A56"/>
    <w:rsid w:val="00861E15"/>
    <w:rsid w:val="0086430E"/>
    <w:rsid w:val="00867136"/>
    <w:rsid w:val="00873E69"/>
    <w:rsid w:val="008802A8"/>
    <w:rsid w:val="00892A00"/>
    <w:rsid w:val="00896653"/>
    <w:rsid w:val="008A1126"/>
    <w:rsid w:val="008A691F"/>
    <w:rsid w:val="008A73D1"/>
    <w:rsid w:val="008B03BF"/>
    <w:rsid w:val="008C1948"/>
    <w:rsid w:val="008C448A"/>
    <w:rsid w:val="008D6A31"/>
    <w:rsid w:val="008E083C"/>
    <w:rsid w:val="008E56F4"/>
    <w:rsid w:val="008E772C"/>
    <w:rsid w:val="00901146"/>
    <w:rsid w:val="009078FE"/>
    <w:rsid w:val="00910417"/>
    <w:rsid w:val="009120CA"/>
    <w:rsid w:val="00921F77"/>
    <w:rsid w:val="00924BB2"/>
    <w:rsid w:val="009277E7"/>
    <w:rsid w:val="009338DB"/>
    <w:rsid w:val="00933E7F"/>
    <w:rsid w:val="009359A6"/>
    <w:rsid w:val="00941DD8"/>
    <w:rsid w:val="0094232E"/>
    <w:rsid w:val="00942942"/>
    <w:rsid w:val="00945B51"/>
    <w:rsid w:val="00946A72"/>
    <w:rsid w:val="00957103"/>
    <w:rsid w:val="00960280"/>
    <w:rsid w:val="009614B1"/>
    <w:rsid w:val="00964C60"/>
    <w:rsid w:val="009655BB"/>
    <w:rsid w:val="00965F42"/>
    <w:rsid w:val="00981C11"/>
    <w:rsid w:val="00983C10"/>
    <w:rsid w:val="0098404F"/>
    <w:rsid w:val="009852F3"/>
    <w:rsid w:val="00991F9C"/>
    <w:rsid w:val="0099291E"/>
    <w:rsid w:val="009A2440"/>
    <w:rsid w:val="009A7627"/>
    <w:rsid w:val="009A7EAD"/>
    <w:rsid w:val="009C15BC"/>
    <w:rsid w:val="009C313B"/>
    <w:rsid w:val="009C4F56"/>
    <w:rsid w:val="009D70EF"/>
    <w:rsid w:val="009E1269"/>
    <w:rsid w:val="009E498F"/>
    <w:rsid w:val="009E5330"/>
    <w:rsid w:val="009E6659"/>
    <w:rsid w:val="009F0789"/>
    <w:rsid w:val="009F4E85"/>
    <w:rsid w:val="009F5FAA"/>
    <w:rsid w:val="00A05F9D"/>
    <w:rsid w:val="00A154B2"/>
    <w:rsid w:val="00A22752"/>
    <w:rsid w:val="00A2668A"/>
    <w:rsid w:val="00A27342"/>
    <w:rsid w:val="00A3475E"/>
    <w:rsid w:val="00A40F62"/>
    <w:rsid w:val="00A42EE6"/>
    <w:rsid w:val="00A53F0C"/>
    <w:rsid w:val="00A5423F"/>
    <w:rsid w:val="00A57F05"/>
    <w:rsid w:val="00A60CD9"/>
    <w:rsid w:val="00A75693"/>
    <w:rsid w:val="00A81F22"/>
    <w:rsid w:val="00A834E8"/>
    <w:rsid w:val="00A840BE"/>
    <w:rsid w:val="00A90793"/>
    <w:rsid w:val="00A93DAD"/>
    <w:rsid w:val="00A95806"/>
    <w:rsid w:val="00A958AC"/>
    <w:rsid w:val="00A96C73"/>
    <w:rsid w:val="00AB43D2"/>
    <w:rsid w:val="00AB6149"/>
    <w:rsid w:val="00AC40D9"/>
    <w:rsid w:val="00AC4D4F"/>
    <w:rsid w:val="00AC4ED6"/>
    <w:rsid w:val="00AE0502"/>
    <w:rsid w:val="00AE4506"/>
    <w:rsid w:val="00AE5224"/>
    <w:rsid w:val="00AE7C6C"/>
    <w:rsid w:val="00AF1C85"/>
    <w:rsid w:val="00AF5E2E"/>
    <w:rsid w:val="00AF7DFD"/>
    <w:rsid w:val="00B02BA4"/>
    <w:rsid w:val="00B037A5"/>
    <w:rsid w:val="00B1235A"/>
    <w:rsid w:val="00B12771"/>
    <w:rsid w:val="00B144A1"/>
    <w:rsid w:val="00B144AF"/>
    <w:rsid w:val="00B2050B"/>
    <w:rsid w:val="00B2284A"/>
    <w:rsid w:val="00B22A51"/>
    <w:rsid w:val="00B22EC2"/>
    <w:rsid w:val="00B254C8"/>
    <w:rsid w:val="00B30CCC"/>
    <w:rsid w:val="00B313B3"/>
    <w:rsid w:val="00B3272B"/>
    <w:rsid w:val="00B40813"/>
    <w:rsid w:val="00B5622A"/>
    <w:rsid w:val="00B56853"/>
    <w:rsid w:val="00B6159C"/>
    <w:rsid w:val="00B66D60"/>
    <w:rsid w:val="00B82A19"/>
    <w:rsid w:val="00B94F5A"/>
    <w:rsid w:val="00B9566C"/>
    <w:rsid w:val="00BA2805"/>
    <w:rsid w:val="00BB0B4D"/>
    <w:rsid w:val="00BB4042"/>
    <w:rsid w:val="00BC6E3E"/>
    <w:rsid w:val="00BC778C"/>
    <w:rsid w:val="00BD0BFA"/>
    <w:rsid w:val="00BD5BED"/>
    <w:rsid w:val="00BD75DE"/>
    <w:rsid w:val="00BE297D"/>
    <w:rsid w:val="00BE78D5"/>
    <w:rsid w:val="00BF535C"/>
    <w:rsid w:val="00BF5655"/>
    <w:rsid w:val="00BF63E5"/>
    <w:rsid w:val="00BF7A4C"/>
    <w:rsid w:val="00C0261E"/>
    <w:rsid w:val="00C04643"/>
    <w:rsid w:val="00C07447"/>
    <w:rsid w:val="00C07DDA"/>
    <w:rsid w:val="00C1282A"/>
    <w:rsid w:val="00C1560C"/>
    <w:rsid w:val="00C236DF"/>
    <w:rsid w:val="00C24518"/>
    <w:rsid w:val="00C25729"/>
    <w:rsid w:val="00C2742D"/>
    <w:rsid w:val="00C452FE"/>
    <w:rsid w:val="00C625DB"/>
    <w:rsid w:val="00C66617"/>
    <w:rsid w:val="00C75ACB"/>
    <w:rsid w:val="00C816BE"/>
    <w:rsid w:val="00C851A5"/>
    <w:rsid w:val="00C854B8"/>
    <w:rsid w:val="00C85D92"/>
    <w:rsid w:val="00C862B1"/>
    <w:rsid w:val="00CA0B83"/>
    <w:rsid w:val="00CA5802"/>
    <w:rsid w:val="00CB025C"/>
    <w:rsid w:val="00CB06D0"/>
    <w:rsid w:val="00CC4CA8"/>
    <w:rsid w:val="00CC54DA"/>
    <w:rsid w:val="00CC6F06"/>
    <w:rsid w:val="00CC7D68"/>
    <w:rsid w:val="00CD409B"/>
    <w:rsid w:val="00CD41CB"/>
    <w:rsid w:val="00CD63BB"/>
    <w:rsid w:val="00CD7D78"/>
    <w:rsid w:val="00CE30A6"/>
    <w:rsid w:val="00CE56BA"/>
    <w:rsid w:val="00CF183D"/>
    <w:rsid w:val="00D02C16"/>
    <w:rsid w:val="00D03447"/>
    <w:rsid w:val="00D04F5F"/>
    <w:rsid w:val="00D12F6F"/>
    <w:rsid w:val="00D23AE2"/>
    <w:rsid w:val="00D23B6B"/>
    <w:rsid w:val="00D23D26"/>
    <w:rsid w:val="00D24B9D"/>
    <w:rsid w:val="00D32C8B"/>
    <w:rsid w:val="00D33CC7"/>
    <w:rsid w:val="00D34A9E"/>
    <w:rsid w:val="00D37862"/>
    <w:rsid w:val="00D4450C"/>
    <w:rsid w:val="00D53125"/>
    <w:rsid w:val="00D74075"/>
    <w:rsid w:val="00D775B6"/>
    <w:rsid w:val="00D82C43"/>
    <w:rsid w:val="00D8781D"/>
    <w:rsid w:val="00D96C96"/>
    <w:rsid w:val="00DA2CC8"/>
    <w:rsid w:val="00DA671A"/>
    <w:rsid w:val="00DA6BED"/>
    <w:rsid w:val="00DB2E60"/>
    <w:rsid w:val="00DB629B"/>
    <w:rsid w:val="00DC33EC"/>
    <w:rsid w:val="00DC58A3"/>
    <w:rsid w:val="00DC6946"/>
    <w:rsid w:val="00DE0770"/>
    <w:rsid w:val="00DE309E"/>
    <w:rsid w:val="00DE3AC6"/>
    <w:rsid w:val="00DF65BD"/>
    <w:rsid w:val="00DF7603"/>
    <w:rsid w:val="00E05472"/>
    <w:rsid w:val="00E1044E"/>
    <w:rsid w:val="00E216CE"/>
    <w:rsid w:val="00E22D95"/>
    <w:rsid w:val="00E22E17"/>
    <w:rsid w:val="00E23044"/>
    <w:rsid w:val="00E269A3"/>
    <w:rsid w:val="00E405B9"/>
    <w:rsid w:val="00E42553"/>
    <w:rsid w:val="00E43C98"/>
    <w:rsid w:val="00E54C55"/>
    <w:rsid w:val="00E54C79"/>
    <w:rsid w:val="00E6661E"/>
    <w:rsid w:val="00E675AB"/>
    <w:rsid w:val="00E77EA2"/>
    <w:rsid w:val="00E85FC6"/>
    <w:rsid w:val="00E8642C"/>
    <w:rsid w:val="00E9173B"/>
    <w:rsid w:val="00E92456"/>
    <w:rsid w:val="00EA456A"/>
    <w:rsid w:val="00EA4B20"/>
    <w:rsid w:val="00EB0067"/>
    <w:rsid w:val="00EB02F8"/>
    <w:rsid w:val="00EB1D20"/>
    <w:rsid w:val="00EB3D76"/>
    <w:rsid w:val="00EC0F17"/>
    <w:rsid w:val="00EC12DB"/>
    <w:rsid w:val="00EC2B3F"/>
    <w:rsid w:val="00EC6347"/>
    <w:rsid w:val="00ED37AF"/>
    <w:rsid w:val="00EE0A72"/>
    <w:rsid w:val="00EE61E3"/>
    <w:rsid w:val="00EF1C18"/>
    <w:rsid w:val="00EF207E"/>
    <w:rsid w:val="00EF6296"/>
    <w:rsid w:val="00EF6604"/>
    <w:rsid w:val="00F05E1C"/>
    <w:rsid w:val="00F06F5C"/>
    <w:rsid w:val="00F10251"/>
    <w:rsid w:val="00F106A7"/>
    <w:rsid w:val="00F10E48"/>
    <w:rsid w:val="00F11436"/>
    <w:rsid w:val="00F14E0E"/>
    <w:rsid w:val="00F167F0"/>
    <w:rsid w:val="00F20C2F"/>
    <w:rsid w:val="00F24F49"/>
    <w:rsid w:val="00F26F9C"/>
    <w:rsid w:val="00F2704C"/>
    <w:rsid w:val="00F27431"/>
    <w:rsid w:val="00F41491"/>
    <w:rsid w:val="00F528C0"/>
    <w:rsid w:val="00F6554F"/>
    <w:rsid w:val="00F6593B"/>
    <w:rsid w:val="00F70854"/>
    <w:rsid w:val="00F719E9"/>
    <w:rsid w:val="00F71B0A"/>
    <w:rsid w:val="00F81C09"/>
    <w:rsid w:val="00F868C3"/>
    <w:rsid w:val="00F91659"/>
    <w:rsid w:val="00F921DC"/>
    <w:rsid w:val="00F946CF"/>
    <w:rsid w:val="00F9494D"/>
    <w:rsid w:val="00F964BC"/>
    <w:rsid w:val="00FB58E0"/>
    <w:rsid w:val="00FC6F42"/>
    <w:rsid w:val="00FC77BC"/>
    <w:rsid w:val="00FD1E2D"/>
    <w:rsid w:val="00FD411A"/>
    <w:rsid w:val="00FE1CB2"/>
    <w:rsid w:val="00FE5478"/>
    <w:rsid w:val="00FE5A0F"/>
    <w:rsid w:val="00FF0E16"/>
    <w:rsid w:val="00FF1188"/>
    <w:rsid w:val="00FF2FEB"/>
    <w:rsid w:val="00FF37B6"/>
    <w:rsid w:val="00FF4268"/>
    <w:rsid w:val="00FF514F"/>
    <w:rsid w:val="00FF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8DAA5C"/>
  <w15:docId w15:val="{FCCFF356-B41B-49CD-8494-AEB9887C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27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44E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72B"/>
  </w:style>
  <w:style w:type="paragraph" w:styleId="Footer">
    <w:name w:val="footer"/>
    <w:basedOn w:val="Normal"/>
    <w:link w:val="FooterChar"/>
    <w:uiPriority w:val="99"/>
    <w:unhideWhenUsed/>
    <w:rsid w:val="00B32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72B"/>
  </w:style>
  <w:style w:type="paragraph" w:styleId="BalloonText">
    <w:name w:val="Balloon Text"/>
    <w:basedOn w:val="Normal"/>
    <w:link w:val="BalloonTextChar"/>
    <w:uiPriority w:val="99"/>
    <w:semiHidden/>
    <w:unhideWhenUsed/>
    <w:rsid w:val="00B3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2B"/>
    <w:rPr>
      <w:rFonts w:ascii="Tahoma" w:hAnsi="Tahoma" w:cs="Tahoma"/>
      <w:sz w:val="16"/>
      <w:szCs w:val="16"/>
    </w:rPr>
  </w:style>
  <w:style w:type="character" w:customStyle="1" w:styleId="Heading2Char">
    <w:name w:val="Heading 2 Char"/>
    <w:basedOn w:val="DefaultParagraphFont"/>
    <w:link w:val="Heading2"/>
    <w:uiPriority w:val="9"/>
    <w:rsid w:val="00B3272B"/>
    <w:rPr>
      <w:rFonts w:asciiTheme="majorHAnsi" w:eastAsiaTheme="majorEastAsia" w:hAnsiTheme="majorHAnsi" w:cstheme="majorBidi"/>
      <w:b/>
      <w:bCs/>
      <w:color w:val="4F81BD" w:themeColor="accent1"/>
      <w:sz w:val="26"/>
      <w:szCs w:val="26"/>
    </w:rPr>
  </w:style>
  <w:style w:type="paragraph" w:styleId="ListParagraph">
    <w:name w:val="List Paragraph"/>
    <w:aliases w:val="Chapter sub sub headings,List Paragraph1,F5 List Paragraph,Dot pt,List Paragraph Char Char Char,Indicator Text,Numbered Para 1,Bullet 1,List Paragraph12,Bullet Points,MAIN CONTENT,List Paragraph2,Normal numbered,Numbered Indented Text"/>
    <w:basedOn w:val="Normal"/>
    <w:link w:val="ListParagraphChar"/>
    <w:uiPriority w:val="34"/>
    <w:qFormat/>
    <w:rsid w:val="00CD41CB"/>
    <w:pPr>
      <w:ind w:left="720"/>
      <w:contextualSpacing/>
    </w:pPr>
  </w:style>
  <w:style w:type="character" w:styleId="Hyperlink">
    <w:name w:val="Hyperlink"/>
    <w:basedOn w:val="DefaultParagraphFont"/>
    <w:uiPriority w:val="99"/>
    <w:unhideWhenUsed/>
    <w:rsid w:val="00167186"/>
    <w:rPr>
      <w:color w:val="0000FF"/>
      <w:u w:val="single"/>
    </w:rPr>
  </w:style>
  <w:style w:type="character" w:styleId="Strong">
    <w:name w:val="Strong"/>
    <w:basedOn w:val="DefaultParagraphFont"/>
    <w:uiPriority w:val="22"/>
    <w:qFormat/>
    <w:rsid w:val="00167186"/>
    <w:rPr>
      <w:b/>
      <w:bCs/>
    </w:rPr>
  </w:style>
  <w:style w:type="paragraph" w:styleId="NormalWeb">
    <w:name w:val="Normal (Web)"/>
    <w:basedOn w:val="Normal"/>
    <w:uiPriority w:val="99"/>
    <w:semiHidden/>
    <w:unhideWhenUsed/>
    <w:rsid w:val="001E250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F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410"/>
    <w:rPr>
      <w:color w:val="800080" w:themeColor="followedHyperlink"/>
      <w:u w:val="single"/>
    </w:rPr>
  </w:style>
  <w:style w:type="character" w:customStyle="1" w:styleId="Heading4Char">
    <w:name w:val="Heading 4 Char"/>
    <w:basedOn w:val="DefaultParagraphFont"/>
    <w:link w:val="Heading4"/>
    <w:uiPriority w:val="9"/>
    <w:rsid w:val="00544E07"/>
    <w:rPr>
      <w:rFonts w:asciiTheme="majorHAnsi" w:eastAsiaTheme="majorEastAsia" w:hAnsiTheme="majorHAnsi" w:cstheme="majorBidi"/>
      <w:i/>
      <w:iCs/>
      <w:color w:val="365F91" w:themeColor="accent1" w:themeShade="BF"/>
    </w:rPr>
  </w:style>
  <w:style w:type="paragraph" w:customStyle="1" w:styleId="Default">
    <w:name w:val="Default"/>
    <w:basedOn w:val="Normal"/>
    <w:rsid w:val="00EE61E3"/>
    <w:pPr>
      <w:autoSpaceDE w:val="0"/>
      <w:autoSpaceDN w:val="0"/>
      <w:spacing w:after="0" w:line="240" w:lineRule="auto"/>
    </w:pPr>
    <w:rPr>
      <w:rFonts w:ascii="JLCJM P+ Helvetica Neue LT" w:hAnsi="JLCJM P+ Helvetica Neue LT" w:cs="Times New Roman"/>
      <w:color w:val="000000"/>
      <w:sz w:val="24"/>
      <w:szCs w:val="24"/>
    </w:rPr>
  </w:style>
  <w:style w:type="paragraph" w:customStyle="1" w:styleId="Heading10">
    <w:name w:val="Heading 10"/>
    <w:basedOn w:val="Normal"/>
    <w:qFormat/>
    <w:rsid w:val="009120CA"/>
    <w:pPr>
      <w:numPr>
        <w:numId w:val="27"/>
      </w:numPr>
      <w:shd w:val="clear" w:color="auto" w:fill="000000"/>
      <w:spacing w:after="0" w:line="240" w:lineRule="auto"/>
      <w:ind w:left="709" w:hanging="709"/>
      <w:jc w:val="both"/>
    </w:pPr>
    <w:rPr>
      <w:rFonts w:ascii="Arial" w:eastAsia="Times New Roman" w:hAnsi="Arial" w:cs="Arial"/>
      <w:b/>
      <w:lang w:eastAsia="en-GB"/>
    </w:rPr>
  </w:style>
  <w:style w:type="character" w:customStyle="1" w:styleId="Heading11Char">
    <w:name w:val="Heading 11 Char"/>
    <w:link w:val="Heading11"/>
    <w:locked/>
    <w:rsid w:val="009120CA"/>
    <w:rPr>
      <w:rFonts w:ascii="Arial" w:eastAsia="Times New Roman" w:hAnsi="Arial" w:cs="Arial"/>
      <w:b/>
      <w:lang w:eastAsia="en-GB"/>
    </w:rPr>
  </w:style>
  <w:style w:type="paragraph" w:customStyle="1" w:styleId="Heading11">
    <w:name w:val="Heading 11"/>
    <w:basedOn w:val="Normal"/>
    <w:link w:val="Heading11Char"/>
    <w:qFormat/>
    <w:rsid w:val="009120CA"/>
    <w:pPr>
      <w:numPr>
        <w:ilvl w:val="1"/>
        <w:numId w:val="27"/>
      </w:numPr>
      <w:spacing w:after="0" w:line="240" w:lineRule="auto"/>
      <w:ind w:left="851" w:hanging="851"/>
      <w:jc w:val="both"/>
    </w:pPr>
    <w:rPr>
      <w:rFonts w:ascii="Arial" w:eastAsia="Times New Roman" w:hAnsi="Arial" w:cs="Arial"/>
      <w:b/>
      <w:lang w:eastAsia="en-GB"/>
    </w:rPr>
  </w:style>
  <w:style w:type="character" w:customStyle="1" w:styleId="ListParagraphChar">
    <w:name w:val="List Paragraph Char"/>
    <w:aliases w:val="Chapter sub sub headings Char,List Paragraph1 Char,F5 List Paragraph Char,Dot pt Char,List Paragraph Char Char Char Char,Indicator Text Char,Numbered Para 1 Char,Bullet 1 Char,List Paragraph12 Char,Bullet Points Char"/>
    <w:link w:val="ListParagraph"/>
    <w:uiPriority w:val="34"/>
    <w:locked/>
    <w:rsid w:val="00696BE6"/>
  </w:style>
  <w:style w:type="character" w:styleId="CommentReference">
    <w:name w:val="annotation reference"/>
    <w:basedOn w:val="DefaultParagraphFont"/>
    <w:uiPriority w:val="99"/>
    <w:semiHidden/>
    <w:unhideWhenUsed/>
    <w:rsid w:val="007202DC"/>
    <w:rPr>
      <w:sz w:val="16"/>
      <w:szCs w:val="16"/>
    </w:rPr>
  </w:style>
  <w:style w:type="paragraph" w:styleId="CommentText">
    <w:name w:val="annotation text"/>
    <w:basedOn w:val="Normal"/>
    <w:link w:val="CommentTextChar"/>
    <w:uiPriority w:val="99"/>
    <w:unhideWhenUsed/>
    <w:rsid w:val="007202DC"/>
    <w:pPr>
      <w:spacing w:line="240" w:lineRule="auto"/>
    </w:pPr>
    <w:rPr>
      <w:sz w:val="20"/>
      <w:szCs w:val="20"/>
    </w:rPr>
  </w:style>
  <w:style w:type="character" w:customStyle="1" w:styleId="CommentTextChar">
    <w:name w:val="Comment Text Char"/>
    <w:basedOn w:val="DefaultParagraphFont"/>
    <w:link w:val="CommentText"/>
    <w:uiPriority w:val="99"/>
    <w:rsid w:val="007202DC"/>
    <w:rPr>
      <w:sz w:val="20"/>
      <w:szCs w:val="20"/>
    </w:rPr>
  </w:style>
  <w:style w:type="paragraph" w:styleId="CommentSubject">
    <w:name w:val="annotation subject"/>
    <w:basedOn w:val="CommentText"/>
    <w:next w:val="CommentText"/>
    <w:link w:val="CommentSubjectChar"/>
    <w:uiPriority w:val="99"/>
    <w:semiHidden/>
    <w:unhideWhenUsed/>
    <w:rsid w:val="007202DC"/>
    <w:rPr>
      <w:b/>
      <w:bCs/>
    </w:rPr>
  </w:style>
  <w:style w:type="character" w:customStyle="1" w:styleId="CommentSubjectChar">
    <w:name w:val="Comment Subject Char"/>
    <w:basedOn w:val="CommentTextChar"/>
    <w:link w:val="CommentSubject"/>
    <w:uiPriority w:val="99"/>
    <w:semiHidden/>
    <w:rsid w:val="007202DC"/>
    <w:rPr>
      <w:b/>
      <w:bCs/>
      <w:sz w:val="20"/>
      <w:szCs w:val="20"/>
    </w:rPr>
  </w:style>
  <w:style w:type="paragraph" w:styleId="Revision">
    <w:name w:val="Revision"/>
    <w:hidden/>
    <w:uiPriority w:val="99"/>
    <w:semiHidden/>
    <w:rsid w:val="0026587C"/>
    <w:pPr>
      <w:spacing w:after="0" w:line="240" w:lineRule="auto"/>
    </w:pPr>
  </w:style>
  <w:style w:type="paragraph" w:styleId="NoSpacing">
    <w:name w:val="No Spacing"/>
    <w:uiPriority w:val="1"/>
    <w:qFormat/>
    <w:rsid w:val="0006758B"/>
    <w:pPr>
      <w:spacing w:after="0" w:line="240" w:lineRule="auto"/>
    </w:pPr>
  </w:style>
  <w:style w:type="character" w:customStyle="1" w:styleId="cf01">
    <w:name w:val="cf01"/>
    <w:basedOn w:val="DefaultParagraphFont"/>
    <w:rsid w:val="00E666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026">
      <w:bodyDiv w:val="1"/>
      <w:marLeft w:val="0"/>
      <w:marRight w:val="0"/>
      <w:marTop w:val="0"/>
      <w:marBottom w:val="0"/>
      <w:divBdr>
        <w:top w:val="none" w:sz="0" w:space="0" w:color="auto"/>
        <w:left w:val="none" w:sz="0" w:space="0" w:color="auto"/>
        <w:bottom w:val="none" w:sz="0" w:space="0" w:color="auto"/>
        <w:right w:val="none" w:sz="0" w:space="0" w:color="auto"/>
      </w:divBdr>
    </w:div>
    <w:div w:id="110243182">
      <w:bodyDiv w:val="1"/>
      <w:marLeft w:val="0"/>
      <w:marRight w:val="0"/>
      <w:marTop w:val="0"/>
      <w:marBottom w:val="0"/>
      <w:divBdr>
        <w:top w:val="none" w:sz="0" w:space="0" w:color="auto"/>
        <w:left w:val="none" w:sz="0" w:space="0" w:color="auto"/>
        <w:bottom w:val="none" w:sz="0" w:space="0" w:color="auto"/>
        <w:right w:val="none" w:sz="0" w:space="0" w:color="auto"/>
      </w:divBdr>
    </w:div>
    <w:div w:id="137577087">
      <w:bodyDiv w:val="1"/>
      <w:marLeft w:val="0"/>
      <w:marRight w:val="0"/>
      <w:marTop w:val="0"/>
      <w:marBottom w:val="0"/>
      <w:divBdr>
        <w:top w:val="none" w:sz="0" w:space="0" w:color="auto"/>
        <w:left w:val="none" w:sz="0" w:space="0" w:color="auto"/>
        <w:bottom w:val="none" w:sz="0" w:space="0" w:color="auto"/>
        <w:right w:val="none" w:sz="0" w:space="0" w:color="auto"/>
      </w:divBdr>
      <w:divsChild>
        <w:div w:id="613905002">
          <w:marLeft w:val="0"/>
          <w:marRight w:val="0"/>
          <w:marTop w:val="0"/>
          <w:marBottom w:val="0"/>
          <w:divBdr>
            <w:top w:val="none" w:sz="0" w:space="0" w:color="auto"/>
            <w:left w:val="none" w:sz="0" w:space="0" w:color="auto"/>
            <w:bottom w:val="none" w:sz="0" w:space="0" w:color="auto"/>
            <w:right w:val="none" w:sz="0" w:space="0" w:color="auto"/>
          </w:divBdr>
          <w:divsChild>
            <w:div w:id="1756128761">
              <w:marLeft w:val="0"/>
              <w:marRight w:val="0"/>
              <w:marTop w:val="0"/>
              <w:marBottom w:val="0"/>
              <w:divBdr>
                <w:top w:val="none" w:sz="0" w:space="0" w:color="auto"/>
                <w:left w:val="none" w:sz="0" w:space="0" w:color="auto"/>
                <w:bottom w:val="none" w:sz="0" w:space="0" w:color="auto"/>
                <w:right w:val="none" w:sz="0" w:space="0" w:color="auto"/>
              </w:divBdr>
              <w:divsChild>
                <w:div w:id="1559245510">
                  <w:marLeft w:val="0"/>
                  <w:marRight w:val="0"/>
                  <w:marTop w:val="0"/>
                  <w:marBottom w:val="0"/>
                  <w:divBdr>
                    <w:top w:val="none" w:sz="0" w:space="0" w:color="auto"/>
                    <w:left w:val="none" w:sz="0" w:space="0" w:color="auto"/>
                    <w:bottom w:val="none" w:sz="0" w:space="0" w:color="auto"/>
                    <w:right w:val="none" w:sz="0" w:space="0" w:color="auto"/>
                  </w:divBdr>
                  <w:divsChild>
                    <w:div w:id="1709601856">
                      <w:marLeft w:val="0"/>
                      <w:marRight w:val="0"/>
                      <w:marTop w:val="0"/>
                      <w:marBottom w:val="0"/>
                      <w:divBdr>
                        <w:top w:val="none" w:sz="0" w:space="0" w:color="auto"/>
                        <w:left w:val="none" w:sz="0" w:space="0" w:color="auto"/>
                        <w:bottom w:val="none" w:sz="0" w:space="0" w:color="auto"/>
                        <w:right w:val="none" w:sz="0" w:space="0" w:color="auto"/>
                      </w:divBdr>
                      <w:divsChild>
                        <w:div w:id="74134110">
                          <w:marLeft w:val="0"/>
                          <w:marRight w:val="0"/>
                          <w:marTop w:val="0"/>
                          <w:marBottom w:val="0"/>
                          <w:divBdr>
                            <w:top w:val="none" w:sz="0" w:space="0" w:color="auto"/>
                            <w:left w:val="none" w:sz="0" w:space="0" w:color="auto"/>
                            <w:bottom w:val="none" w:sz="0" w:space="0" w:color="auto"/>
                            <w:right w:val="none" w:sz="0" w:space="0" w:color="auto"/>
                          </w:divBdr>
                          <w:divsChild>
                            <w:div w:id="7828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34257">
      <w:bodyDiv w:val="1"/>
      <w:marLeft w:val="0"/>
      <w:marRight w:val="0"/>
      <w:marTop w:val="0"/>
      <w:marBottom w:val="0"/>
      <w:divBdr>
        <w:top w:val="none" w:sz="0" w:space="0" w:color="auto"/>
        <w:left w:val="none" w:sz="0" w:space="0" w:color="auto"/>
        <w:bottom w:val="none" w:sz="0" w:space="0" w:color="auto"/>
        <w:right w:val="none" w:sz="0" w:space="0" w:color="auto"/>
      </w:divBdr>
    </w:div>
    <w:div w:id="234095145">
      <w:bodyDiv w:val="1"/>
      <w:marLeft w:val="0"/>
      <w:marRight w:val="0"/>
      <w:marTop w:val="0"/>
      <w:marBottom w:val="0"/>
      <w:divBdr>
        <w:top w:val="none" w:sz="0" w:space="0" w:color="auto"/>
        <w:left w:val="none" w:sz="0" w:space="0" w:color="auto"/>
        <w:bottom w:val="none" w:sz="0" w:space="0" w:color="auto"/>
        <w:right w:val="none" w:sz="0" w:space="0" w:color="auto"/>
      </w:divBdr>
      <w:divsChild>
        <w:div w:id="1449467406">
          <w:marLeft w:val="0"/>
          <w:marRight w:val="0"/>
          <w:marTop w:val="0"/>
          <w:marBottom w:val="0"/>
          <w:divBdr>
            <w:top w:val="none" w:sz="0" w:space="0" w:color="auto"/>
            <w:left w:val="none" w:sz="0" w:space="0" w:color="auto"/>
            <w:bottom w:val="none" w:sz="0" w:space="0" w:color="auto"/>
            <w:right w:val="none" w:sz="0" w:space="0" w:color="auto"/>
          </w:divBdr>
          <w:divsChild>
            <w:div w:id="985469588">
              <w:marLeft w:val="0"/>
              <w:marRight w:val="0"/>
              <w:marTop w:val="0"/>
              <w:marBottom w:val="0"/>
              <w:divBdr>
                <w:top w:val="none" w:sz="0" w:space="0" w:color="auto"/>
                <w:left w:val="none" w:sz="0" w:space="0" w:color="auto"/>
                <w:bottom w:val="none" w:sz="0" w:space="0" w:color="auto"/>
                <w:right w:val="none" w:sz="0" w:space="0" w:color="auto"/>
              </w:divBdr>
              <w:divsChild>
                <w:div w:id="2301949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59947622">
      <w:bodyDiv w:val="1"/>
      <w:marLeft w:val="0"/>
      <w:marRight w:val="0"/>
      <w:marTop w:val="0"/>
      <w:marBottom w:val="0"/>
      <w:divBdr>
        <w:top w:val="none" w:sz="0" w:space="0" w:color="auto"/>
        <w:left w:val="none" w:sz="0" w:space="0" w:color="auto"/>
        <w:bottom w:val="none" w:sz="0" w:space="0" w:color="auto"/>
        <w:right w:val="none" w:sz="0" w:space="0" w:color="auto"/>
      </w:divBdr>
    </w:div>
    <w:div w:id="315307423">
      <w:bodyDiv w:val="1"/>
      <w:marLeft w:val="0"/>
      <w:marRight w:val="0"/>
      <w:marTop w:val="0"/>
      <w:marBottom w:val="0"/>
      <w:divBdr>
        <w:top w:val="none" w:sz="0" w:space="0" w:color="auto"/>
        <w:left w:val="none" w:sz="0" w:space="0" w:color="auto"/>
        <w:bottom w:val="none" w:sz="0" w:space="0" w:color="auto"/>
        <w:right w:val="none" w:sz="0" w:space="0" w:color="auto"/>
      </w:divBdr>
    </w:div>
    <w:div w:id="325280102">
      <w:bodyDiv w:val="1"/>
      <w:marLeft w:val="0"/>
      <w:marRight w:val="0"/>
      <w:marTop w:val="0"/>
      <w:marBottom w:val="0"/>
      <w:divBdr>
        <w:top w:val="none" w:sz="0" w:space="0" w:color="auto"/>
        <w:left w:val="none" w:sz="0" w:space="0" w:color="auto"/>
        <w:bottom w:val="none" w:sz="0" w:space="0" w:color="auto"/>
        <w:right w:val="none" w:sz="0" w:space="0" w:color="auto"/>
      </w:divBdr>
    </w:div>
    <w:div w:id="531117818">
      <w:bodyDiv w:val="1"/>
      <w:marLeft w:val="0"/>
      <w:marRight w:val="0"/>
      <w:marTop w:val="0"/>
      <w:marBottom w:val="0"/>
      <w:divBdr>
        <w:top w:val="none" w:sz="0" w:space="0" w:color="auto"/>
        <w:left w:val="none" w:sz="0" w:space="0" w:color="auto"/>
        <w:bottom w:val="none" w:sz="0" w:space="0" w:color="auto"/>
        <w:right w:val="none" w:sz="0" w:space="0" w:color="auto"/>
      </w:divBdr>
    </w:div>
    <w:div w:id="546336840">
      <w:bodyDiv w:val="1"/>
      <w:marLeft w:val="0"/>
      <w:marRight w:val="0"/>
      <w:marTop w:val="0"/>
      <w:marBottom w:val="0"/>
      <w:divBdr>
        <w:top w:val="none" w:sz="0" w:space="0" w:color="auto"/>
        <w:left w:val="none" w:sz="0" w:space="0" w:color="auto"/>
        <w:bottom w:val="none" w:sz="0" w:space="0" w:color="auto"/>
        <w:right w:val="none" w:sz="0" w:space="0" w:color="auto"/>
      </w:divBdr>
    </w:div>
    <w:div w:id="589121138">
      <w:bodyDiv w:val="1"/>
      <w:marLeft w:val="0"/>
      <w:marRight w:val="0"/>
      <w:marTop w:val="0"/>
      <w:marBottom w:val="0"/>
      <w:divBdr>
        <w:top w:val="none" w:sz="0" w:space="0" w:color="auto"/>
        <w:left w:val="none" w:sz="0" w:space="0" w:color="auto"/>
        <w:bottom w:val="none" w:sz="0" w:space="0" w:color="auto"/>
        <w:right w:val="none" w:sz="0" w:space="0" w:color="auto"/>
      </w:divBdr>
    </w:div>
    <w:div w:id="623007024">
      <w:bodyDiv w:val="1"/>
      <w:marLeft w:val="0"/>
      <w:marRight w:val="0"/>
      <w:marTop w:val="0"/>
      <w:marBottom w:val="0"/>
      <w:divBdr>
        <w:top w:val="none" w:sz="0" w:space="0" w:color="auto"/>
        <w:left w:val="none" w:sz="0" w:space="0" w:color="auto"/>
        <w:bottom w:val="none" w:sz="0" w:space="0" w:color="auto"/>
        <w:right w:val="none" w:sz="0" w:space="0" w:color="auto"/>
      </w:divBdr>
    </w:div>
    <w:div w:id="729307363">
      <w:bodyDiv w:val="1"/>
      <w:marLeft w:val="0"/>
      <w:marRight w:val="0"/>
      <w:marTop w:val="0"/>
      <w:marBottom w:val="0"/>
      <w:divBdr>
        <w:top w:val="none" w:sz="0" w:space="0" w:color="auto"/>
        <w:left w:val="none" w:sz="0" w:space="0" w:color="auto"/>
        <w:bottom w:val="none" w:sz="0" w:space="0" w:color="auto"/>
        <w:right w:val="none" w:sz="0" w:space="0" w:color="auto"/>
      </w:divBdr>
    </w:div>
    <w:div w:id="777530209">
      <w:bodyDiv w:val="1"/>
      <w:marLeft w:val="0"/>
      <w:marRight w:val="0"/>
      <w:marTop w:val="0"/>
      <w:marBottom w:val="0"/>
      <w:divBdr>
        <w:top w:val="none" w:sz="0" w:space="0" w:color="auto"/>
        <w:left w:val="none" w:sz="0" w:space="0" w:color="auto"/>
        <w:bottom w:val="none" w:sz="0" w:space="0" w:color="auto"/>
        <w:right w:val="none" w:sz="0" w:space="0" w:color="auto"/>
      </w:divBdr>
    </w:div>
    <w:div w:id="799419926">
      <w:bodyDiv w:val="1"/>
      <w:marLeft w:val="0"/>
      <w:marRight w:val="0"/>
      <w:marTop w:val="0"/>
      <w:marBottom w:val="0"/>
      <w:divBdr>
        <w:top w:val="none" w:sz="0" w:space="0" w:color="auto"/>
        <w:left w:val="none" w:sz="0" w:space="0" w:color="auto"/>
        <w:bottom w:val="none" w:sz="0" w:space="0" w:color="auto"/>
        <w:right w:val="none" w:sz="0" w:space="0" w:color="auto"/>
      </w:divBdr>
    </w:div>
    <w:div w:id="802695177">
      <w:bodyDiv w:val="1"/>
      <w:marLeft w:val="0"/>
      <w:marRight w:val="0"/>
      <w:marTop w:val="0"/>
      <w:marBottom w:val="0"/>
      <w:divBdr>
        <w:top w:val="none" w:sz="0" w:space="0" w:color="auto"/>
        <w:left w:val="none" w:sz="0" w:space="0" w:color="auto"/>
        <w:bottom w:val="none" w:sz="0" w:space="0" w:color="auto"/>
        <w:right w:val="none" w:sz="0" w:space="0" w:color="auto"/>
      </w:divBdr>
    </w:div>
    <w:div w:id="830801959">
      <w:bodyDiv w:val="1"/>
      <w:marLeft w:val="0"/>
      <w:marRight w:val="0"/>
      <w:marTop w:val="0"/>
      <w:marBottom w:val="0"/>
      <w:divBdr>
        <w:top w:val="none" w:sz="0" w:space="0" w:color="auto"/>
        <w:left w:val="none" w:sz="0" w:space="0" w:color="auto"/>
        <w:bottom w:val="none" w:sz="0" w:space="0" w:color="auto"/>
        <w:right w:val="none" w:sz="0" w:space="0" w:color="auto"/>
      </w:divBdr>
    </w:div>
    <w:div w:id="861624420">
      <w:bodyDiv w:val="1"/>
      <w:marLeft w:val="0"/>
      <w:marRight w:val="0"/>
      <w:marTop w:val="0"/>
      <w:marBottom w:val="0"/>
      <w:divBdr>
        <w:top w:val="none" w:sz="0" w:space="0" w:color="auto"/>
        <w:left w:val="none" w:sz="0" w:space="0" w:color="auto"/>
        <w:bottom w:val="none" w:sz="0" w:space="0" w:color="auto"/>
        <w:right w:val="none" w:sz="0" w:space="0" w:color="auto"/>
      </w:divBdr>
      <w:divsChild>
        <w:div w:id="1905869036">
          <w:marLeft w:val="547"/>
          <w:marRight w:val="0"/>
          <w:marTop w:val="154"/>
          <w:marBottom w:val="0"/>
          <w:divBdr>
            <w:top w:val="none" w:sz="0" w:space="0" w:color="auto"/>
            <w:left w:val="none" w:sz="0" w:space="0" w:color="auto"/>
            <w:bottom w:val="none" w:sz="0" w:space="0" w:color="auto"/>
            <w:right w:val="none" w:sz="0" w:space="0" w:color="auto"/>
          </w:divBdr>
        </w:div>
      </w:divsChild>
    </w:div>
    <w:div w:id="911620725">
      <w:bodyDiv w:val="1"/>
      <w:marLeft w:val="0"/>
      <w:marRight w:val="0"/>
      <w:marTop w:val="0"/>
      <w:marBottom w:val="0"/>
      <w:divBdr>
        <w:top w:val="none" w:sz="0" w:space="0" w:color="auto"/>
        <w:left w:val="none" w:sz="0" w:space="0" w:color="auto"/>
        <w:bottom w:val="none" w:sz="0" w:space="0" w:color="auto"/>
        <w:right w:val="none" w:sz="0" w:space="0" w:color="auto"/>
      </w:divBdr>
    </w:div>
    <w:div w:id="919295177">
      <w:bodyDiv w:val="1"/>
      <w:marLeft w:val="0"/>
      <w:marRight w:val="0"/>
      <w:marTop w:val="0"/>
      <w:marBottom w:val="0"/>
      <w:divBdr>
        <w:top w:val="none" w:sz="0" w:space="0" w:color="auto"/>
        <w:left w:val="none" w:sz="0" w:space="0" w:color="auto"/>
        <w:bottom w:val="none" w:sz="0" w:space="0" w:color="auto"/>
        <w:right w:val="none" w:sz="0" w:space="0" w:color="auto"/>
      </w:divBdr>
    </w:div>
    <w:div w:id="969826464">
      <w:bodyDiv w:val="1"/>
      <w:marLeft w:val="0"/>
      <w:marRight w:val="0"/>
      <w:marTop w:val="0"/>
      <w:marBottom w:val="0"/>
      <w:divBdr>
        <w:top w:val="none" w:sz="0" w:space="0" w:color="auto"/>
        <w:left w:val="none" w:sz="0" w:space="0" w:color="auto"/>
        <w:bottom w:val="none" w:sz="0" w:space="0" w:color="auto"/>
        <w:right w:val="none" w:sz="0" w:space="0" w:color="auto"/>
      </w:divBdr>
    </w:div>
    <w:div w:id="1181970749">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sChild>
        <w:div w:id="585724804">
          <w:marLeft w:val="547"/>
          <w:marRight w:val="0"/>
          <w:marTop w:val="144"/>
          <w:marBottom w:val="0"/>
          <w:divBdr>
            <w:top w:val="none" w:sz="0" w:space="0" w:color="auto"/>
            <w:left w:val="none" w:sz="0" w:space="0" w:color="auto"/>
            <w:bottom w:val="none" w:sz="0" w:space="0" w:color="auto"/>
            <w:right w:val="none" w:sz="0" w:space="0" w:color="auto"/>
          </w:divBdr>
        </w:div>
      </w:divsChild>
    </w:div>
    <w:div w:id="1257597899">
      <w:bodyDiv w:val="1"/>
      <w:marLeft w:val="0"/>
      <w:marRight w:val="0"/>
      <w:marTop w:val="0"/>
      <w:marBottom w:val="0"/>
      <w:divBdr>
        <w:top w:val="none" w:sz="0" w:space="0" w:color="auto"/>
        <w:left w:val="none" w:sz="0" w:space="0" w:color="auto"/>
        <w:bottom w:val="none" w:sz="0" w:space="0" w:color="auto"/>
        <w:right w:val="none" w:sz="0" w:space="0" w:color="auto"/>
      </w:divBdr>
    </w:div>
    <w:div w:id="1306205608">
      <w:bodyDiv w:val="1"/>
      <w:marLeft w:val="0"/>
      <w:marRight w:val="0"/>
      <w:marTop w:val="0"/>
      <w:marBottom w:val="0"/>
      <w:divBdr>
        <w:top w:val="none" w:sz="0" w:space="0" w:color="auto"/>
        <w:left w:val="none" w:sz="0" w:space="0" w:color="auto"/>
        <w:bottom w:val="none" w:sz="0" w:space="0" w:color="auto"/>
        <w:right w:val="none" w:sz="0" w:space="0" w:color="auto"/>
      </w:divBdr>
    </w:div>
    <w:div w:id="1470131471">
      <w:bodyDiv w:val="1"/>
      <w:marLeft w:val="0"/>
      <w:marRight w:val="0"/>
      <w:marTop w:val="0"/>
      <w:marBottom w:val="0"/>
      <w:divBdr>
        <w:top w:val="none" w:sz="0" w:space="0" w:color="auto"/>
        <w:left w:val="none" w:sz="0" w:space="0" w:color="auto"/>
        <w:bottom w:val="none" w:sz="0" w:space="0" w:color="auto"/>
        <w:right w:val="none" w:sz="0" w:space="0" w:color="auto"/>
      </w:divBdr>
    </w:div>
    <w:div w:id="1480533350">
      <w:bodyDiv w:val="1"/>
      <w:marLeft w:val="0"/>
      <w:marRight w:val="0"/>
      <w:marTop w:val="0"/>
      <w:marBottom w:val="0"/>
      <w:divBdr>
        <w:top w:val="none" w:sz="0" w:space="0" w:color="auto"/>
        <w:left w:val="none" w:sz="0" w:space="0" w:color="auto"/>
        <w:bottom w:val="none" w:sz="0" w:space="0" w:color="auto"/>
        <w:right w:val="none" w:sz="0" w:space="0" w:color="auto"/>
      </w:divBdr>
    </w:div>
    <w:div w:id="1699235916">
      <w:bodyDiv w:val="1"/>
      <w:marLeft w:val="0"/>
      <w:marRight w:val="0"/>
      <w:marTop w:val="0"/>
      <w:marBottom w:val="0"/>
      <w:divBdr>
        <w:top w:val="none" w:sz="0" w:space="0" w:color="auto"/>
        <w:left w:val="none" w:sz="0" w:space="0" w:color="auto"/>
        <w:bottom w:val="none" w:sz="0" w:space="0" w:color="auto"/>
        <w:right w:val="none" w:sz="0" w:space="0" w:color="auto"/>
      </w:divBdr>
    </w:div>
    <w:div w:id="170898734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73">
          <w:marLeft w:val="0"/>
          <w:marRight w:val="0"/>
          <w:marTop w:val="0"/>
          <w:marBottom w:val="0"/>
          <w:divBdr>
            <w:top w:val="none" w:sz="0" w:space="0" w:color="auto"/>
            <w:left w:val="none" w:sz="0" w:space="0" w:color="auto"/>
            <w:bottom w:val="none" w:sz="0" w:space="0" w:color="auto"/>
            <w:right w:val="none" w:sz="0" w:space="0" w:color="auto"/>
          </w:divBdr>
          <w:divsChild>
            <w:div w:id="712734180">
              <w:marLeft w:val="0"/>
              <w:marRight w:val="0"/>
              <w:marTop w:val="0"/>
              <w:marBottom w:val="0"/>
              <w:divBdr>
                <w:top w:val="none" w:sz="0" w:space="0" w:color="auto"/>
                <w:left w:val="none" w:sz="0" w:space="0" w:color="auto"/>
                <w:bottom w:val="none" w:sz="0" w:space="0" w:color="auto"/>
                <w:right w:val="none" w:sz="0" w:space="0" w:color="auto"/>
              </w:divBdr>
              <w:divsChild>
                <w:div w:id="1444154580">
                  <w:marLeft w:val="0"/>
                  <w:marRight w:val="0"/>
                  <w:marTop w:val="0"/>
                  <w:marBottom w:val="0"/>
                  <w:divBdr>
                    <w:top w:val="none" w:sz="0" w:space="0" w:color="auto"/>
                    <w:left w:val="none" w:sz="0" w:space="0" w:color="auto"/>
                    <w:bottom w:val="none" w:sz="0" w:space="0" w:color="auto"/>
                    <w:right w:val="none" w:sz="0" w:space="0" w:color="auto"/>
                  </w:divBdr>
                  <w:divsChild>
                    <w:div w:id="991644409">
                      <w:marLeft w:val="0"/>
                      <w:marRight w:val="0"/>
                      <w:marTop w:val="0"/>
                      <w:marBottom w:val="0"/>
                      <w:divBdr>
                        <w:top w:val="none" w:sz="0" w:space="0" w:color="auto"/>
                        <w:left w:val="none" w:sz="0" w:space="0" w:color="auto"/>
                        <w:bottom w:val="none" w:sz="0" w:space="0" w:color="auto"/>
                        <w:right w:val="none" w:sz="0" w:space="0" w:color="auto"/>
                      </w:divBdr>
                      <w:divsChild>
                        <w:div w:id="1268657897">
                          <w:marLeft w:val="0"/>
                          <w:marRight w:val="0"/>
                          <w:marTop w:val="0"/>
                          <w:marBottom w:val="0"/>
                          <w:divBdr>
                            <w:top w:val="none" w:sz="0" w:space="0" w:color="auto"/>
                            <w:left w:val="none" w:sz="0" w:space="0" w:color="auto"/>
                            <w:bottom w:val="none" w:sz="0" w:space="0" w:color="auto"/>
                            <w:right w:val="none" w:sz="0" w:space="0" w:color="auto"/>
                          </w:divBdr>
                          <w:divsChild>
                            <w:div w:id="6967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1874">
      <w:bodyDiv w:val="1"/>
      <w:marLeft w:val="0"/>
      <w:marRight w:val="0"/>
      <w:marTop w:val="0"/>
      <w:marBottom w:val="0"/>
      <w:divBdr>
        <w:top w:val="none" w:sz="0" w:space="0" w:color="auto"/>
        <w:left w:val="none" w:sz="0" w:space="0" w:color="auto"/>
        <w:bottom w:val="none" w:sz="0" w:space="0" w:color="auto"/>
        <w:right w:val="none" w:sz="0" w:space="0" w:color="auto"/>
      </w:divBdr>
    </w:div>
    <w:div w:id="1830974260">
      <w:bodyDiv w:val="1"/>
      <w:marLeft w:val="0"/>
      <w:marRight w:val="0"/>
      <w:marTop w:val="0"/>
      <w:marBottom w:val="0"/>
      <w:divBdr>
        <w:top w:val="none" w:sz="0" w:space="0" w:color="auto"/>
        <w:left w:val="none" w:sz="0" w:space="0" w:color="auto"/>
        <w:bottom w:val="none" w:sz="0" w:space="0" w:color="auto"/>
        <w:right w:val="none" w:sz="0" w:space="0" w:color="auto"/>
      </w:divBdr>
    </w:div>
    <w:div w:id="1862283597">
      <w:bodyDiv w:val="1"/>
      <w:marLeft w:val="0"/>
      <w:marRight w:val="0"/>
      <w:marTop w:val="0"/>
      <w:marBottom w:val="0"/>
      <w:divBdr>
        <w:top w:val="none" w:sz="0" w:space="0" w:color="auto"/>
        <w:left w:val="none" w:sz="0" w:space="0" w:color="auto"/>
        <w:bottom w:val="none" w:sz="0" w:space="0" w:color="auto"/>
        <w:right w:val="none" w:sz="0" w:space="0" w:color="auto"/>
      </w:divBdr>
    </w:div>
    <w:div w:id="1862623563">
      <w:bodyDiv w:val="1"/>
      <w:marLeft w:val="0"/>
      <w:marRight w:val="0"/>
      <w:marTop w:val="0"/>
      <w:marBottom w:val="0"/>
      <w:divBdr>
        <w:top w:val="none" w:sz="0" w:space="0" w:color="auto"/>
        <w:left w:val="none" w:sz="0" w:space="0" w:color="auto"/>
        <w:bottom w:val="none" w:sz="0" w:space="0" w:color="auto"/>
        <w:right w:val="none" w:sz="0" w:space="0" w:color="auto"/>
      </w:divBdr>
    </w:div>
    <w:div w:id="1867518686">
      <w:bodyDiv w:val="1"/>
      <w:marLeft w:val="0"/>
      <w:marRight w:val="0"/>
      <w:marTop w:val="0"/>
      <w:marBottom w:val="0"/>
      <w:divBdr>
        <w:top w:val="none" w:sz="0" w:space="0" w:color="auto"/>
        <w:left w:val="none" w:sz="0" w:space="0" w:color="auto"/>
        <w:bottom w:val="none" w:sz="0" w:space="0" w:color="auto"/>
        <w:right w:val="none" w:sz="0" w:space="0" w:color="auto"/>
      </w:divBdr>
    </w:div>
    <w:div w:id="1936474806">
      <w:bodyDiv w:val="1"/>
      <w:marLeft w:val="0"/>
      <w:marRight w:val="0"/>
      <w:marTop w:val="0"/>
      <w:marBottom w:val="0"/>
      <w:divBdr>
        <w:top w:val="none" w:sz="0" w:space="0" w:color="auto"/>
        <w:left w:val="none" w:sz="0" w:space="0" w:color="auto"/>
        <w:bottom w:val="none" w:sz="0" w:space="0" w:color="auto"/>
        <w:right w:val="none" w:sz="0" w:space="0" w:color="auto"/>
      </w:divBdr>
    </w:div>
    <w:div w:id="1958831925">
      <w:bodyDiv w:val="1"/>
      <w:marLeft w:val="0"/>
      <w:marRight w:val="0"/>
      <w:marTop w:val="0"/>
      <w:marBottom w:val="0"/>
      <w:divBdr>
        <w:top w:val="none" w:sz="0" w:space="0" w:color="auto"/>
        <w:left w:val="none" w:sz="0" w:space="0" w:color="auto"/>
        <w:bottom w:val="none" w:sz="0" w:space="0" w:color="auto"/>
        <w:right w:val="none" w:sz="0" w:space="0" w:color="auto"/>
      </w:divBdr>
      <w:divsChild>
        <w:div w:id="761298552">
          <w:marLeft w:val="547"/>
          <w:marRight w:val="0"/>
          <w:marTop w:val="144"/>
          <w:marBottom w:val="0"/>
          <w:divBdr>
            <w:top w:val="none" w:sz="0" w:space="0" w:color="auto"/>
            <w:left w:val="none" w:sz="0" w:space="0" w:color="auto"/>
            <w:bottom w:val="none" w:sz="0" w:space="0" w:color="auto"/>
            <w:right w:val="none" w:sz="0" w:space="0" w:color="auto"/>
          </w:divBdr>
        </w:div>
        <w:div w:id="358357919">
          <w:marLeft w:val="547"/>
          <w:marRight w:val="0"/>
          <w:marTop w:val="144"/>
          <w:marBottom w:val="0"/>
          <w:divBdr>
            <w:top w:val="none" w:sz="0" w:space="0" w:color="auto"/>
            <w:left w:val="none" w:sz="0" w:space="0" w:color="auto"/>
            <w:bottom w:val="none" w:sz="0" w:space="0" w:color="auto"/>
            <w:right w:val="none" w:sz="0" w:space="0" w:color="auto"/>
          </w:divBdr>
        </w:div>
        <w:div w:id="71827505">
          <w:marLeft w:val="547"/>
          <w:marRight w:val="0"/>
          <w:marTop w:val="144"/>
          <w:marBottom w:val="0"/>
          <w:divBdr>
            <w:top w:val="none" w:sz="0" w:space="0" w:color="auto"/>
            <w:left w:val="none" w:sz="0" w:space="0" w:color="auto"/>
            <w:bottom w:val="none" w:sz="0" w:space="0" w:color="auto"/>
            <w:right w:val="none" w:sz="0" w:space="0" w:color="auto"/>
          </w:divBdr>
        </w:div>
        <w:div w:id="1541476157">
          <w:marLeft w:val="547"/>
          <w:marRight w:val="0"/>
          <w:marTop w:val="144"/>
          <w:marBottom w:val="0"/>
          <w:divBdr>
            <w:top w:val="none" w:sz="0" w:space="0" w:color="auto"/>
            <w:left w:val="none" w:sz="0" w:space="0" w:color="auto"/>
            <w:bottom w:val="none" w:sz="0" w:space="0" w:color="auto"/>
            <w:right w:val="none" w:sz="0" w:space="0" w:color="auto"/>
          </w:divBdr>
        </w:div>
        <w:div w:id="9258489">
          <w:marLeft w:val="547"/>
          <w:marRight w:val="0"/>
          <w:marTop w:val="144"/>
          <w:marBottom w:val="0"/>
          <w:divBdr>
            <w:top w:val="none" w:sz="0" w:space="0" w:color="auto"/>
            <w:left w:val="none" w:sz="0" w:space="0" w:color="auto"/>
            <w:bottom w:val="none" w:sz="0" w:space="0" w:color="auto"/>
            <w:right w:val="none" w:sz="0" w:space="0" w:color="auto"/>
          </w:divBdr>
        </w:div>
      </w:divsChild>
    </w:div>
    <w:div w:id="20892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Spoken Skills.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AB7-41BD-9C1F-575BAF966D8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AB7-41BD-9C1F-575BAF966D8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AB7-41BD-9C1F-575BAF966D8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AB7-41BD-9C1F-575BAF966D8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AB7-41BD-9C1F-575BAF966D8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AB7-41BD-9C1F-575BAF966D87}"/>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676E44B3-345C-4902-9CF4-D4C799D5D677}" type="CATEGORYNAME">
                      <a:rPr lang="en-US"/>
                      <a:pPr>
                        <a:defRPr/>
                      </a:pPr>
                      <a:t>[CATEGORY NAME]</a:t>
                    </a:fld>
                    <a:r>
                      <a:rPr lang="en-US" baseline="0"/>
                      <a:t>
</a:t>
                    </a:r>
                    <a:fld id="{8E14EDEF-60A1-4549-8066-E1A8BE715741}" type="PERCENTAGE">
                      <a:rPr lang="en-US" baseline="0"/>
                      <a:pPr>
                        <a:defRPr/>
                      </a:pPr>
                      <a:t>[PERCENTAGE]</a:t>
                    </a:fld>
                    <a:r>
                      <a:rPr lang="en-US" baseline="0"/>
                      <a:t> (1)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AB7-41BD-9C1F-575BAF966D87}"/>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7B38F42-BFD3-4667-A55D-2E768F0AF1EB}" type="CATEGORYNAME">
                      <a:rPr lang="en-US"/>
                      <a:pPr>
                        <a:defRPr>
                          <a:solidFill>
                            <a:schemeClr val="accent1"/>
                          </a:solidFill>
                        </a:defRPr>
                      </a:pPr>
                      <a:t>[CATEGORY NAME]</a:t>
                    </a:fld>
                    <a:r>
                      <a:rPr lang="en-US" baseline="0"/>
                      <a:t>
</a:t>
                    </a:r>
                    <a:fld id="{635E2CF5-2775-4A3C-B317-732716A475AC}" type="PERCENTAGE">
                      <a:rPr lang="en-US" baseline="0"/>
                      <a:pPr>
                        <a:defRPr>
                          <a:solidFill>
                            <a:schemeClr val="accent1"/>
                          </a:solidFill>
                        </a:defRPr>
                      </a:pPr>
                      <a:t>[PERCENTAGE]</a:t>
                    </a:fld>
                    <a:r>
                      <a:rPr lang="en-US" baseline="0"/>
                      <a:t> (2)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AB7-41BD-9C1F-575BAF966D87}"/>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3980055-5A46-4FA5-915B-1799C717F6E7}" type="CATEGORYNAME">
                      <a:rPr lang="en-US"/>
                      <a:pPr>
                        <a:defRPr>
                          <a:solidFill>
                            <a:schemeClr val="accent1"/>
                          </a:solidFill>
                        </a:defRPr>
                      </a:pPr>
                      <a:t>[CATEGORY NAME]</a:t>
                    </a:fld>
                    <a:r>
                      <a:rPr lang="en-US" baseline="0"/>
                      <a:t>
</a:t>
                    </a:r>
                    <a:fld id="{B97566A2-F3C9-4742-B241-04BAF356E2C5}" type="PERCENTAGE">
                      <a:rPr lang="en-US" baseline="0"/>
                      <a:pPr>
                        <a:defRPr>
                          <a:solidFill>
                            <a:schemeClr val="accent1"/>
                          </a:solidFill>
                        </a:defRPr>
                      </a:pPr>
                      <a:t>[PERCENTAGE]</a:t>
                    </a:fld>
                    <a:r>
                      <a:rPr lang="en-US" baseline="0"/>
                      <a:t>(4)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AB7-41BD-9C1F-575BAF966D87}"/>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2279375-2DC9-48BD-B015-F3E9F9F60EB3}" type="CATEGORYNAME">
                      <a:rPr lang="en-US"/>
                      <a:pPr>
                        <a:defRPr>
                          <a:solidFill>
                            <a:schemeClr val="accent1"/>
                          </a:solidFill>
                        </a:defRPr>
                      </a:pPr>
                      <a:t>[CATEGORY NAME]</a:t>
                    </a:fld>
                    <a:r>
                      <a:rPr lang="en-US" baseline="0"/>
                      <a:t>
</a:t>
                    </a:r>
                    <a:fld id="{8A43C162-3352-4189-8541-D81B60842E98}" type="PERCENTAGE">
                      <a:rPr lang="en-US" baseline="0"/>
                      <a:pPr>
                        <a:defRPr>
                          <a:solidFill>
                            <a:schemeClr val="accent1"/>
                          </a:solidFill>
                        </a:defRPr>
                      </a:pPr>
                      <a:t>[PERCENTAGE]</a:t>
                    </a:fld>
                    <a:r>
                      <a:rPr lang="en-US" baseline="0"/>
                      <a:t> (4)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AB7-41BD-9C1F-575BAF966D87}"/>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46A1B4DD-2741-4438-A268-F9D479B7D648}" type="CATEGORYNAME">
                      <a:rPr lang="en-US"/>
                      <a:pPr>
                        <a:defRPr>
                          <a:solidFill>
                            <a:schemeClr val="accent1"/>
                          </a:solidFill>
                        </a:defRPr>
                      </a:pPr>
                      <a:t>[CATEGORY NAME]</a:t>
                    </a:fld>
                    <a:r>
                      <a:rPr lang="en-US" baseline="0"/>
                      <a:t>
</a:t>
                    </a:r>
                    <a:fld id="{0941CEBB-F2E2-4055-9E8A-ABD6C182F314}" type="PERCENTAGE">
                      <a:rPr lang="en-US" baseline="0"/>
                      <a:pPr>
                        <a:defRPr>
                          <a:solidFill>
                            <a:schemeClr val="accent1"/>
                          </a:solidFill>
                        </a:defRPr>
                      </a:pPr>
                      <a:t>[PERCENTAGE]</a:t>
                    </a:fld>
                    <a:r>
                      <a:rPr lang="en-US" baseline="0"/>
                      <a:t> (3)</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AB7-41BD-9C1F-575BAF966D87}"/>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06B795C6-7BB5-4129-BEF5-90DF130EFDEA}" type="CATEGORYNAME">
                      <a:rPr lang="en-US"/>
                      <a:pPr>
                        <a:defRPr>
                          <a:solidFill>
                            <a:schemeClr val="accent1"/>
                          </a:solidFill>
                        </a:defRPr>
                      </a:pPr>
                      <a:t>[CATEGORY NAME]</a:t>
                    </a:fld>
                    <a:r>
                      <a:rPr lang="en-US" baseline="0"/>
                      <a:t>
</a:t>
                    </a:r>
                    <a:fld id="{B307B545-39F0-4F93-AC5F-9E6B5BC624D3}" type="PERCENTAGE">
                      <a:rPr lang="en-US" baseline="0"/>
                      <a:pPr>
                        <a:defRPr>
                          <a:solidFill>
                            <a:schemeClr val="accent1"/>
                          </a:solidFill>
                        </a:defRPr>
                      </a:pPr>
                      <a:t>[PERCENTAGE]</a:t>
                    </a:fld>
                    <a:r>
                      <a:rPr lang="en-US" baseline="0"/>
                      <a:t> (6)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AB7-41BD-9C1F-575BAF966D8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Level 0</c:v>
                </c:pt>
                <c:pt idx="1">
                  <c:v>Level 1</c:v>
                </c:pt>
                <c:pt idx="2">
                  <c:v>Level 2</c:v>
                </c:pt>
                <c:pt idx="3">
                  <c:v>Level 3</c:v>
                </c:pt>
                <c:pt idx="4">
                  <c:v>Level 4</c:v>
                </c:pt>
                <c:pt idx="5">
                  <c:v>Level 5</c:v>
                </c:pt>
              </c:strCache>
            </c:strRef>
          </c:cat>
          <c:val>
            <c:numRef>
              <c:f>Sheet1!$B$2:$B$7</c:f>
              <c:numCache>
                <c:formatCode>General</c:formatCode>
                <c:ptCount val="6"/>
                <c:pt idx="0">
                  <c:v>1</c:v>
                </c:pt>
                <c:pt idx="1">
                  <c:v>2</c:v>
                </c:pt>
                <c:pt idx="2">
                  <c:v>4</c:v>
                </c:pt>
                <c:pt idx="3">
                  <c:v>4</c:v>
                </c:pt>
                <c:pt idx="4">
                  <c:v>3</c:v>
                </c:pt>
                <c:pt idx="5">
                  <c:v>6</c:v>
                </c:pt>
              </c:numCache>
            </c:numRef>
          </c:val>
          <c:extLst>
            <c:ext xmlns:c16="http://schemas.microsoft.com/office/drawing/2014/chart" uri="{C3380CC4-5D6E-409C-BE32-E72D297353CC}">
              <c16:uniqueId val="{0000000C-9AB7-41BD-9C1F-575BAF966D87}"/>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Written Skills</a:t>
            </a:r>
          </a:p>
        </c:rich>
      </c:tx>
      <c:layout>
        <c:manualLayout>
          <c:xMode val="edge"/>
          <c:yMode val="edge"/>
          <c:x val="0.35354855643044619"/>
          <c:y val="1.344538052367816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3C0-40CB-B8FB-2F45C366BE2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3C0-40CB-B8FB-2F45C366BE2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3C0-40CB-B8FB-2F45C366BE2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3C0-40CB-B8FB-2F45C366BE2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3C0-40CB-B8FB-2F45C366BE2E}"/>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3C0-40CB-B8FB-2F45C366BE2E}"/>
              </c:ext>
            </c:extLst>
          </c:dPt>
          <c:dLbls>
            <c:dLbl>
              <c:idx val="0"/>
              <c:layout>
                <c:manualLayout>
                  <c:x val="-2.7777777777778798E-3"/>
                  <c:y val="3.1372554555249045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446EAF3-54DC-4F20-8E9B-45328C455DDA}" type="CATEGORYNAME">
                      <a:rPr lang="en-US"/>
                      <a:pPr>
                        <a:defRPr/>
                      </a:pPr>
                      <a:t>[CATEGORY NAME]</a:t>
                    </a:fld>
                    <a:endParaRPr lang="en-US" baseline="0"/>
                  </a:p>
                  <a:p>
                    <a:pPr>
                      <a:defRPr/>
                    </a:pPr>
                    <a:r>
                      <a:rPr lang="en-US" baseline="0"/>
                      <a:t>  </a:t>
                    </a:r>
                    <a:fld id="{B7B5F81E-DE74-4401-B127-1163FDD7ECCF}" type="PERCENTAGE">
                      <a:rPr lang="en-US" baseline="0"/>
                      <a:pPr>
                        <a:defRPr/>
                      </a:pPr>
                      <a:t>[PERCENTAGE]</a:t>
                    </a:fld>
                    <a:r>
                      <a:rPr lang="en-US" baseline="0"/>
                      <a:t> (1)</a:t>
                    </a:r>
                  </a:p>
                  <a:p>
                    <a:pPr>
                      <a:defRPr/>
                    </a:pPr>
                    <a:endParaRPr lang="en-GB"/>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3C0-40CB-B8FB-2F45C366BE2E}"/>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7614CA2-8C7C-4764-9833-576AD045903F}" type="CATEGORYNAME">
                      <a:rPr lang="en-US"/>
                      <a:pPr>
                        <a:defRPr>
                          <a:solidFill>
                            <a:schemeClr val="accent1"/>
                          </a:solidFill>
                        </a:defRPr>
                      </a:pPr>
                      <a:t>[CATEGORY NAME]</a:t>
                    </a:fld>
                    <a:endParaRPr lang="en-US" baseline="0"/>
                  </a:p>
                  <a:p>
                    <a:pPr>
                      <a:defRPr>
                        <a:solidFill>
                          <a:schemeClr val="accent1"/>
                        </a:solidFill>
                      </a:defRPr>
                    </a:pPr>
                    <a:fld id="{657FCE85-F90F-4B1D-8C2C-6EAB7E300B41}" type="PERCENTAGE">
                      <a:rPr lang="en-US" baseline="0"/>
                      <a:pPr>
                        <a:defRPr>
                          <a:solidFill>
                            <a:schemeClr val="accent1"/>
                          </a:solidFill>
                        </a:defRPr>
                      </a:pPr>
                      <a:t>[PERCENTAGE]</a:t>
                    </a:fld>
                    <a:r>
                      <a:rPr lang="en-US" baseline="0"/>
                      <a:t> (2)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3C0-40CB-B8FB-2F45C366BE2E}"/>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7CE79267-2EE4-40BD-B465-94C40E3957E6}" type="CATEGORYNAME">
                      <a:rPr lang="en-US"/>
                      <a:pPr>
                        <a:defRPr>
                          <a:solidFill>
                            <a:schemeClr val="accent1"/>
                          </a:solidFill>
                        </a:defRPr>
                      </a:pPr>
                      <a:t>[CATEGORY NAME]</a:t>
                    </a:fld>
                    <a:endParaRPr lang="en-US" baseline="0"/>
                  </a:p>
                  <a:p>
                    <a:pPr>
                      <a:defRPr>
                        <a:solidFill>
                          <a:schemeClr val="accent1"/>
                        </a:solidFill>
                      </a:defRPr>
                    </a:pPr>
                    <a:fld id="{AB9D98CA-6B8B-4BF4-870B-FEDF56D56DAB}" type="PERCENTAGE">
                      <a:rPr lang="en-US" baseline="0"/>
                      <a:pPr>
                        <a:defRPr>
                          <a:solidFill>
                            <a:schemeClr val="accent1"/>
                          </a:solidFill>
                        </a:defRPr>
                      </a:pPr>
                      <a:t>[PERCENTAGE]</a:t>
                    </a:fld>
                    <a:r>
                      <a:rPr lang="en-US" baseline="0"/>
                      <a:t> (4)</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3C0-40CB-B8FB-2F45C366BE2E}"/>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A7859007-2138-42CB-A265-75505ADA4322}" type="CATEGORYNAME">
                      <a:rPr lang="en-US"/>
                      <a:pPr>
                        <a:defRPr>
                          <a:solidFill>
                            <a:schemeClr val="accent1"/>
                          </a:solidFill>
                        </a:defRPr>
                      </a:pPr>
                      <a:t>[CATEGORY NAME]</a:t>
                    </a:fld>
                    <a:r>
                      <a:rPr lang="en-US" baseline="0"/>
                      <a:t>,</a:t>
                    </a:r>
                  </a:p>
                  <a:p>
                    <a:pPr>
                      <a:defRPr>
                        <a:solidFill>
                          <a:schemeClr val="accent1"/>
                        </a:solidFill>
                      </a:defRPr>
                    </a:pPr>
                    <a:fld id="{669A2E4C-76E8-49DA-92E4-0DE0A98324D4}" type="PERCENTAGE">
                      <a:rPr lang="en-US" baseline="0"/>
                      <a:pPr>
                        <a:defRPr>
                          <a:solidFill>
                            <a:schemeClr val="accent1"/>
                          </a:solidFill>
                        </a:defRPr>
                      </a:pPr>
                      <a:t>[PERCENTAGE]</a:t>
                    </a:fld>
                    <a:r>
                      <a:rPr lang="en-US" baseline="0"/>
                      <a:t> (5)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3C0-40CB-B8FB-2F45C366BE2E}"/>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F2709477-AD9F-4BA2-B345-BDA42BE9DAE3}" type="CATEGORYNAME">
                      <a:rPr lang="en-US"/>
                      <a:pPr>
                        <a:defRPr>
                          <a:solidFill>
                            <a:schemeClr val="accent1"/>
                          </a:solidFill>
                        </a:defRPr>
                      </a:pPr>
                      <a:t>[CATEGORY NAME]</a:t>
                    </a:fld>
                    <a:endParaRPr lang="en-US" baseline="0"/>
                  </a:p>
                  <a:p>
                    <a:pPr>
                      <a:defRPr>
                        <a:solidFill>
                          <a:schemeClr val="accent1"/>
                        </a:solidFill>
                      </a:defRPr>
                    </a:pPr>
                    <a:fld id="{AB8CBE1D-5FD3-4BDF-A788-89F5822B7241}" type="PERCENTAGE">
                      <a:rPr lang="en-US" baseline="0"/>
                      <a:pPr>
                        <a:defRPr>
                          <a:solidFill>
                            <a:schemeClr val="accent1"/>
                          </a:solidFill>
                        </a:defRPr>
                      </a:pPr>
                      <a:t>[PERCENTAGE]</a:t>
                    </a:fld>
                    <a:r>
                      <a:rPr lang="en-US" baseline="0"/>
                      <a:t> (2)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3C0-40CB-B8FB-2F45C366BE2E}"/>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D9FFA9E5-D6D7-43A6-B678-573A6643C508}" type="CATEGORYNAME">
                      <a:rPr lang="en-US"/>
                      <a:pPr>
                        <a:defRPr>
                          <a:solidFill>
                            <a:schemeClr val="accent1"/>
                          </a:solidFill>
                        </a:defRPr>
                      </a:pPr>
                      <a:t>[CATEGORY NAME]</a:t>
                    </a:fld>
                    <a:endParaRPr lang="en-US" baseline="0"/>
                  </a:p>
                  <a:p>
                    <a:pPr>
                      <a:defRPr>
                        <a:solidFill>
                          <a:schemeClr val="accent1"/>
                        </a:solidFill>
                      </a:defRPr>
                    </a:pPr>
                    <a:fld id="{4645E600-2E59-4EDF-A87D-C129A83FDBFC}" type="PERCENTAGE">
                      <a:rPr lang="en-US" baseline="0"/>
                      <a:pPr>
                        <a:defRPr>
                          <a:solidFill>
                            <a:schemeClr val="accent1"/>
                          </a:solidFill>
                        </a:defRPr>
                      </a:pPr>
                      <a:t>[PERCENTAGE]</a:t>
                    </a:fld>
                    <a:r>
                      <a:rPr lang="en-US" baseline="0"/>
                      <a:t> (6)</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3C0-40CB-B8FB-2F45C366BE2E}"/>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Sheet1!$A$13:$A$18</c:f>
              <c:strCache>
                <c:ptCount val="6"/>
                <c:pt idx="0">
                  <c:v>Level 0</c:v>
                </c:pt>
                <c:pt idx="1">
                  <c:v>Level 1</c:v>
                </c:pt>
                <c:pt idx="2">
                  <c:v>Level 2</c:v>
                </c:pt>
                <c:pt idx="3">
                  <c:v>Level 3</c:v>
                </c:pt>
                <c:pt idx="4">
                  <c:v>Level 4</c:v>
                </c:pt>
                <c:pt idx="5">
                  <c:v>Level 5</c:v>
                </c:pt>
              </c:strCache>
            </c:strRef>
          </c:cat>
          <c:val>
            <c:numRef>
              <c:f>Sheet1!$B$13:$B$18</c:f>
              <c:numCache>
                <c:formatCode>General</c:formatCode>
                <c:ptCount val="6"/>
                <c:pt idx="0">
                  <c:v>1</c:v>
                </c:pt>
                <c:pt idx="1">
                  <c:v>2</c:v>
                </c:pt>
                <c:pt idx="2">
                  <c:v>4</c:v>
                </c:pt>
                <c:pt idx="3">
                  <c:v>5</c:v>
                </c:pt>
                <c:pt idx="4">
                  <c:v>2</c:v>
                </c:pt>
                <c:pt idx="5">
                  <c:v>6</c:v>
                </c:pt>
              </c:numCache>
            </c:numRef>
          </c:val>
          <c:extLst>
            <c:ext xmlns:c16="http://schemas.microsoft.com/office/drawing/2014/chart" uri="{C3380CC4-5D6E-409C-BE32-E72D297353CC}">
              <c16:uniqueId val="{0000000C-93C0-40CB-B8FB-2F45C366BE2E}"/>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15BFC-5C6F-4E4B-8868-D2AC32E069AF}">
  <ds:schemaRefs>
    <ds:schemaRef ds:uri="http://schemas.microsoft.com/sharepoint/v3/contenttype/forms"/>
  </ds:schemaRefs>
</ds:datastoreItem>
</file>

<file path=customXml/itemProps2.xml><?xml version="1.0" encoding="utf-8"?>
<ds:datastoreItem xmlns:ds="http://schemas.openxmlformats.org/officeDocument/2006/customXml" ds:itemID="{5C765BBF-058B-40B8-8803-2E92A9386F4F}">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2D712B37-D6CD-423D-942F-3923AC6B3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Gayther Cheryl</dc:creator>
  <cp:lastModifiedBy>Evans Neil (OPCC)</cp:lastModifiedBy>
  <cp:revision>2</cp:revision>
  <dcterms:created xsi:type="dcterms:W3CDTF">2024-01-04T15:19:00Z</dcterms:created>
  <dcterms:modified xsi:type="dcterms:W3CDTF">2024-01-04T15:19:00Z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5a46e8d7-8532-4350-bcef-d100c340a049</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2022-04-11T09:32:54Z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effd93a6-7e6a-4eae-868f-36b642ee9474</vt:lpwstr>
  </property>
  <property fmtid="{D5CDD505-2E9C-101B-9397-08002B2CF9AE}" pid="10" name="MSIP_Label_7beefdff-6834-454f-be00-a68b5bc5f471_ContentBits">
    <vt:lpwstr>0</vt:lpwstr>
  </property>
</Properties>
</file>