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3" w:rsidRPr="004C7D66" w:rsidRDefault="00396C93">
      <w:pPr>
        <w:rPr>
          <w:lang w:val="cy-GB"/>
        </w:rPr>
      </w:pPr>
      <w:bookmarkStart w:id="0" w:name="_GoBack"/>
      <w:bookmarkEnd w:id="0"/>
    </w:p>
    <w:p w:rsidR="00312718" w:rsidRPr="004C7D66" w:rsidRDefault="00312718">
      <w:pPr>
        <w:rPr>
          <w:lang w:val="cy-GB"/>
        </w:rPr>
      </w:pPr>
    </w:p>
    <w:p w:rsidR="00312718" w:rsidRPr="004C7D66" w:rsidRDefault="00E32404" w:rsidP="00E32404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  <w:lang w:val="cy-GB"/>
        </w:rPr>
      </w:pPr>
      <w:r w:rsidRPr="004C7D66">
        <w:rPr>
          <w:rFonts w:ascii="Verdana" w:hAnsi="Verdana" w:cs="Arial"/>
          <w:b/>
          <w:noProof/>
          <w:color w:val="17365D"/>
          <w:sz w:val="28"/>
          <w:szCs w:val="28"/>
          <w:lang w:eastAsia="en-GB"/>
        </w:rPr>
        <w:drawing>
          <wp:inline distT="0" distB="0" distL="0" distR="0" wp14:anchorId="50681AFE" wp14:editId="44E0724B">
            <wp:extent cx="2714550" cy="1367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cle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50" cy="13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18" w:rsidRPr="004C7D66" w:rsidRDefault="00312718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  <w:lang w:val="cy-GB"/>
        </w:rPr>
      </w:pPr>
    </w:p>
    <w:p w:rsidR="002F75DB" w:rsidRPr="004C7D66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  <w:lang w:val="cy-GB"/>
        </w:rPr>
      </w:pPr>
    </w:p>
    <w:p w:rsidR="002F75DB" w:rsidRPr="004C7D66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  <w:lang w:val="cy-GB"/>
        </w:rPr>
      </w:pPr>
    </w:p>
    <w:p w:rsidR="002F75DB" w:rsidRPr="004C7D66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  <w:lang w:val="cy-GB"/>
        </w:rPr>
      </w:pPr>
    </w:p>
    <w:p w:rsidR="00312718" w:rsidRPr="004C7D66" w:rsidRDefault="000409C2" w:rsidP="00312718">
      <w:pPr>
        <w:ind w:left="567"/>
        <w:jc w:val="center"/>
        <w:rPr>
          <w:rFonts w:cstheme="minorHAnsi"/>
          <w:b/>
          <w:color w:val="17365D"/>
          <w:sz w:val="28"/>
          <w:szCs w:val="28"/>
          <w:lang w:val="cy-GB"/>
        </w:rPr>
      </w:pPr>
      <w:r>
        <w:rPr>
          <w:rFonts w:cstheme="minorHAnsi"/>
          <w:b/>
          <w:color w:val="17365D"/>
          <w:sz w:val="28"/>
          <w:szCs w:val="28"/>
          <w:lang w:val="cy-GB"/>
        </w:rPr>
        <w:t>COMISIYNYDD HEDDLU A THROSEDDU</w:t>
      </w:r>
      <w:r w:rsidR="00E32404" w:rsidRPr="004C7D66">
        <w:rPr>
          <w:rFonts w:cstheme="minorHAnsi"/>
          <w:b/>
          <w:color w:val="17365D"/>
          <w:sz w:val="28"/>
          <w:szCs w:val="28"/>
          <w:lang w:val="cy-GB"/>
        </w:rPr>
        <w:t xml:space="preserve"> DYFED-POWYS</w:t>
      </w:r>
    </w:p>
    <w:p w:rsidR="00312718" w:rsidRPr="004C7D66" w:rsidRDefault="00312718" w:rsidP="00312718">
      <w:pPr>
        <w:ind w:left="567"/>
        <w:jc w:val="center"/>
        <w:rPr>
          <w:rFonts w:cstheme="minorHAnsi"/>
          <w:b/>
          <w:sz w:val="28"/>
          <w:szCs w:val="28"/>
          <w:lang w:val="cy-GB"/>
        </w:rPr>
      </w:pPr>
    </w:p>
    <w:p w:rsidR="00F201A1" w:rsidRPr="004C7D66" w:rsidRDefault="000409C2" w:rsidP="00312718">
      <w:pPr>
        <w:ind w:left="567"/>
        <w:jc w:val="center"/>
        <w:rPr>
          <w:rFonts w:cstheme="minorHAnsi"/>
          <w:b/>
          <w:color w:val="548DD4"/>
          <w:sz w:val="28"/>
          <w:szCs w:val="28"/>
          <w:lang w:val="cy-GB"/>
        </w:rPr>
      </w:pPr>
      <w:r>
        <w:rPr>
          <w:rFonts w:cstheme="minorHAnsi"/>
          <w:b/>
          <w:color w:val="548DD4"/>
          <w:sz w:val="28"/>
          <w:szCs w:val="28"/>
          <w:lang w:val="cy-GB"/>
        </w:rPr>
        <w:t>FFRAMWAITH AR GYFER CRAFFU AR GWYNION</w:t>
      </w: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  <w:lang w:val="cy-GB"/>
        </w:rPr>
      </w:pPr>
    </w:p>
    <w:p w:rsidR="002F75DB" w:rsidRPr="004C7D66" w:rsidRDefault="000409C2" w:rsidP="002F75DB">
      <w:pPr>
        <w:ind w:left="567"/>
        <w:jc w:val="right"/>
        <w:rPr>
          <w:rFonts w:cstheme="minorHAnsi"/>
          <w:b/>
          <w:color w:val="92D050"/>
          <w:sz w:val="24"/>
          <w:szCs w:val="24"/>
          <w:lang w:val="cy-GB"/>
        </w:rPr>
      </w:pPr>
      <w:r>
        <w:rPr>
          <w:rFonts w:cstheme="minorHAnsi"/>
          <w:b/>
          <w:color w:val="92D050"/>
          <w:sz w:val="24"/>
          <w:szCs w:val="24"/>
          <w:lang w:val="cy-GB"/>
        </w:rPr>
        <w:t>Awdur</w:t>
      </w:r>
      <w:r w:rsidR="002F75DB" w:rsidRPr="004C7D66">
        <w:rPr>
          <w:rFonts w:cstheme="minorHAnsi"/>
          <w:b/>
          <w:color w:val="92D050"/>
          <w:sz w:val="24"/>
          <w:szCs w:val="24"/>
          <w:lang w:val="cy-GB"/>
        </w:rPr>
        <w:t xml:space="preserve">: </w:t>
      </w:r>
      <w:r>
        <w:rPr>
          <w:rFonts w:cstheme="minorHAnsi"/>
          <w:b/>
          <w:color w:val="92D050"/>
          <w:sz w:val="24"/>
          <w:szCs w:val="24"/>
          <w:lang w:val="cy-GB"/>
        </w:rPr>
        <w:t>Gweithiwr Achos Ansawdd Gwasanaeth</w:t>
      </w:r>
    </w:p>
    <w:p w:rsidR="001F0BA0" w:rsidRPr="004C7D66" w:rsidRDefault="000409C2" w:rsidP="001F0BA0">
      <w:pPr>
        <w:ind w:left="567"/>
        <w:jc w:val="right"/>
        <w:rPr>
          <w:rFonts w:cstheme="minorHAnsi"/>
          <w:noProof/>
          <w:color w:val="92D050"/>
          <w:sz w:val="24"/>
          <w:szCs w:val="24"/>
          <w:lang w:val="cy-GB" w:eastAsia="en-GB"/>
        </w:rPr>
      </w:pPr>
      <w:r>
        <w:rPr>
          <w:rFonts w:cstheme="minorHAnsi"/>
          <w:b/>
          <w:color w:val="92D050"/>
          <w:sz w:val="24"/>
          <w:szCs w:val="24"/>
          <w:lang w:val="cy-GB"/>
        </w:rPr>
        <w:t>E-bost</w:t>
      </w:r>
      <w:r w:rsidR="002F75DB" w:rsidRPr="004C7D66">
        <w:rPr>
          <w:rFonts w:cstheme="minorHAnsi"/>
          <w:b/>
          <w:color w:val="92D050"/>
          <w:sz w:val="24"/>
          <w:szCs w:val="24"/>
          <w:lang w:val="cy-GB"/>
        </w:rPr>
        <w:t xml:space="preserve">: </w:t>
      </w:r>
      <w:hyperlink r:id="rId12" w:history="1">
        <w:r w:rsidR="001F0BA0" w:rsidRPr="004C7D66">
          <w:rPr>
            <w:rStyle w:val="Hyperlink"/>
            <w:rFonts w:cstheme="minorHAnsi"/>
            <w:iCs/>
            <w:noProof/>
            <w:color w:val="92D050"/>
            <w:sz w:val="24"/>
            <w:szCs w:val="24"/>
            <w:lang w:val="cy-GB" w:eastAsia="en-GB"/>
          </w:rPr>
          <w:t>opcc@dyfed-powys.pnn.police.uk</w:t>
        </w:r>
      </w:hyperlink>
    </w:p>
    <w:p w:rsidR="00FD775B" w:rsidRPr="004C7D66" w:rsidRDefault="000409C2" w:rsidP="002F75DB">
      <w:pPr>
        <w:ind w:left="567"/>
        <w:jc w:val="right"/>
        <w:rPr>
          <w:rFonts w:ascii="Verdana" w:hAnsi="Verdana" w:cs="Arial"/>
          <w:b/>
          <w:color w:val="92D050"/>
          <w:szCs w:val="28"/>
          <w:lang w:val="cy-GB"/>
        </w:rPr>
      </w:pPr>
      <w:r>
        <w:rPr>
          <w:rFonts w:cstheme="minorHAnsi"/>
          <w:b/>
          <w:color w:val="92D050"/>
          <w:sz w:val="24"/>
          <w:szCs w:val="24"/>
          <w:lang w:val="cy-GB"/>
        </w:rPr>
        <w:t>Ffôn</w:t>
      </w:r>
      <w:r w:rsidR="002F75DB" w:rsidRPr="004C7D66">
        <w:rPr>
          <w:rFonts w:cstheme="minorHAnsi"/>
          <w:b/>
          <w:color w:val="92D050"/>
          <w:sz w:val="24"/>
          <w:szCs w:val="24"/>
          <w:lang w:val="cy-GB"/>
        </w:rPr>
        <w:t xml:space="preserve">: </w:t>
      </w:r>
      <w:r w:rsidR="001F0BA0" w:rsidRPr="004C7D66">
        <w:rPr>
          <w:rFonts w:cstheme="minorHAnsi"/>
          <w:b/>
          <w:iCs/>
          <w:noProof/>
          <w:color w:val="92D050"/>
          <w:sz w:val="24"/>
          <w:szCs w:val="24"/>
          <w:lang w:val="cy-GB" w:eastAsia="en-GB"/>
        </w:rPr>
        <w:t>01267 226440</w:t>
      </w:r>
      <w:r w:rsidR="00396C93" w:rsidRPr="004C7D66">
        <w:rPr>
          <w:b/>
          <w:lang w:val="cy-GB"/>
        </w:rPr>
        <w:br w:type="page"/>
      </w:r>
    </w:p>
    <w:bookmarkStart w:id="1" w:name="_Toc466648638" w:displacedByCustomXml="next"/>
    <w:bookmarkStart w:id="2" w:name="_Toc466648622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cy-GB" w:bidi="ar-SA"/>
        </w:rPr>
        <w:id w:val="1320698213"/>
        <w:docPartObj>
          <w:docPartGallery w:val="Table of Contents"/>
          <w:docPartUnique/>
        </w:docPartObj>
      </w:sdtPr>
      <w:sdtEndPr>
        <w:rPr>
          <w:rFonts w:cstheme="minorHAnsi"/>
          <w:noProof/>
        </w:rPr>
      </w:sdtEndPr>
      <w:sdtContent>
        <w:p w:rsidR="00A95DE8" w:rsidRPr="004C7D66" w:rsidRDefault="000409C2" w:rsidP="00A95DE8">
          <w:pPr>
            <w:pStyle w:val="TOCHeading"/>
            <w:rPr>
              <w:rFonts w:asciiTheme="minorHAnsi" w:hAnsiTheme="minorHAnsi" w:cstheme="minorHAnsi"/>
              <w:color w:val="0070C0"/>
              <w:sz w:val="22"/>
              <w:szCs w:val="22"/>
              <w:lang w:val="cy-GB"/>
            </w:rPr>
          </w:pPr>
          <w:r>
            <w:rPr>
              <w:rFonts w:asciiTheme="minorHAnsi" w:hAnsiTheme="minorHAnsi" w:cstheme="minorHAnsi"/>
              <w:color w:val="0070C0"/>
              <w:sz w:val="22"/>
              <w:szCs w:val="22"/>
              <w:lang w:val="cy-GB"/>
            </w:rPr>
            <w:t>Cynnwys</w:t>
          </w:r>
        </w:p>
        <w:p w:rsidR="00A95DE8" w:rsidRPr="004C7D66" w:rsidRDefault="00A95DE8" w:rsidP="00A95DE8">
          <w:pPr>
            <w:rPr>
              <w:rFonts w:cstheme="minorHAnsi"/>
              <w:lang w:val="cy-GB" w:bidi="en-US"/>
            </w:rPr>
          </w:pPr>
        </w:p>
        <w:p w:rsidR="00496BBF" w:rsidRPr="004C7D66" w:rsidRDefault="000409C2" w:rsidP="00496BBF">
          <w:pPr>
            <w:pStyle w:val="TOC1"/>
            <w:numPr>
              <w:ilvl w:val="0"/>
              <w:numId w:val="19"/>
            </w:numPr>
            <w:rPr>
              <w:rFonts w:cstheme="minorHAnsi"/>
              <w:noProof/>
              <w:lang w:val="cy-GB"/>
            </w:rPr>
          </w:pPr>
          <w:r>
            <w:rPr>
              <w:rFonts w:cstheme="minorHAnsi"/>
              <w:noProof/>
              <w:lang w:val="cy-GB"/>
            </w:rPr>
            <w:t>Crynodeb Gweithredol</w:t>
          </w:r>
          <w:r w:rsidR="00A95DE8" w:rsidRPr="004C7D66">
            <w:rPr>
              <w:rFonts w:cstheme="minorHAnsi"/>
              <w:noProof/>
              <w:lang w:val="cy-GB"/>
            </w:rPr>
            <w:tab/>
            <w:t>3</w:t>
          </w:r>
        </w:p>
        <w:p w:rsidR="00A95DE8" w:rsidRPr="004C7D66" w:rsidRDefault="000409C2" w:rsidP="00496BBF">
          <w:pPr>
            <w:pStyle w:val="TOC1"/>
            <w:numPr>
              <w:ilvl w:val="0"/>
              <w:numId w:val="19"/>
            </w:numPr>
            <w:rPr>
              <w:rFonts w:cstheme="minorHAnsi"/>
              <w:noProof/>
              <w:lang w:val="cy-GB"/>
            </w:rPr>
          </w:pPr>
          <w:r>
            <w:rPr>
              <w:rFonts w:cstheme="minorHAnsi"/>
              <w:lang w:val="cy-GB"/>
            </w:rPr>
            <w:t>Hap Samplo Ansawdd Gwasanaeth</w:t>
          </w:r>
          <w:r w:rsidR="00A95DE8" w:rsidRPr="004C7D66">
            <w:rPr>
              <w:rFonts w:cstheme="minorHAnsi"/>
              <w:lang w:val="cy-GB"/>
            </w:rPr>
            <w:tab/>
            <w:t>3</w:t>
          </w:r>
        </w:p>
        <w:p w:rsidR="00A95DE8" w:rsidRPr="004C7D66" w:rsidRDefault="000409C2" w:rsidP="00A95DE8">
          <w:pPr>
            <w:pStyle w:val="TOC1"/>
            <w:numPr>
              <w:ilvl w:val="0"/>
              <w:numId w:val="19"/>
            </w:numPr>
            <w:rPr>
              <w:rFonts w:cstheme="minorHAnsi"/>
              <w:lang w:val="cy-GB"/>
            </w:rPr>
          </w:pPr>
          <w:r>
            <w:rPr>
              <w:rFonts w:cstheme="minorHAnsi"/>
              <w:lang w:val="cy-GB"/>
            </w:rPr>
            <w:t>Dadansoddi Tueddiadau</w:t>
          </w:r>
          <w:r w:rsidR="00A95DE8" w:rsidRPr="004C7D66">
            <w:rPr>
              <w:rFonts w:cstheme="minorHAnsi"/>
              <w:lang w:val="cy-GB"/>
            </w:rPr>
            <w:t xml:space="preserve"> – </w:t>
          </w:r>
          <w:r>
            <w:rPr>
              <w:rFonts w:cstheme="minorHAnsi"/>
              <w:lang w:val="cy-GB"/>
            </w:rPr>
            <w:t>Asesiad Ystadegol</w:t>
          </w:r>
          <w:r w:rsidR="00A95DE8" w:rsidRPr="004C7D66">
            <w:rPr>
              <w:rFonts w:cstheme="minorHAnsi"/>
              <w:lang w:val="cy-GB"/>
            </w:rPr>
            <w:tab/>
            <w:t>4</w:t>
          </w:r>
        </w:p>
        <w:p w:rsidR="00A95DE8" w:rsidRPr="004C7D66" w:rsidRDefault="000409C2" w:rsidP="00A95DE8">
          <w:pPr>
            <w:pStyle w:val="TOC1"/>
            <w:numPr>
              <w:ilvl w:val="0"/>
              <w:numId w:val="0"/>
            </w:numPr>
            <w:ind w:left="360"/>
            <w:rPr>
              <w:rFonts w:cstheme="minorHAnsi"/>
              <w:lang w:val="cy-GB"/>
            </w:rPr>
          </w:pPr>
          <w:r>
            <w:rPr>
              <w:rFonts w:cstheme="minorHAnsi"/>
              <w:lang w:val="cy-GB"/>
            </w:rPr>
            <w:t>Craffu Dwys</w:t>
          </w:r>
          <w:r w:rsidR="00A95DE8" w:rsidRPr="004C7D66">
            <w:rPr>
              <w:rFonts w:cstheme="minorHAnsi"/>
              <w:lang w:val="cy-GB"/>
            </w:rPr>
            <w:tab/>
          </w:r>
          <w:r w:rsidR="00A95DE8" w:rsidRPr="004C7D66">
            <w:rPr>
              <w:rFonts w:cstheme="minorHAnsi"/>
              <w:lang w:val="cy-GB"/>
            </w:rPr>
            <w:tab/>
            <w:t>5</w:t>
          </w:r>
        </w:p>
        <w:p w:rsidR="00A95DE8" w:rsidRPr="004C7D66" w:rsidRDefault="000409C2" w:rsidP="00A95DE8">
          <w:pPr>
            <w:pStyle w:val="TOC1"/>
            <w:rPr>
              <w:rFonts w:cstheme="minorHAnsi"/>
              <w:lang w:val="cy-GB"/>
            </w:rPr>
          </w:pPr>
          <w:r>
            <w:rPr>
              <w:rFonts w:cstheme="minorHAnsi"/>
              <w:lang w:val="cy-GB"/>
            </w:rPr>
            <w:t>Y Panel Sicrhau Ansawdd</w:t>
          </w:r>
          <w:r w:rsidR="00434C49" w:rsidRPr="004C7D66">
            <w:rPr>
              <w:rFonts w:cstheme="minorHAnsi"/>
              <w:lang w:val="cy-GB"/>
            </w:rPr>
            <w:tab/>
            <w:t>5</w:t>
          </w:r>
        </w:p>
        <w:p w:rsidR="00A95DE8" w:rsidRPr="004C7D66" w:rsidRDefault="000409C2" w:rsidP="00A95DE8">
          <w:pPr>
            <w:pStyle w:val="TOC1"/>
            <w:rPr>
              <w:rFonts w:cstheme="minorHAnsi"/>
              <w:lang w:val="cy-GB"/>
            </w:rPr>
          </w:pPr>
          <w:r>
            <w:rPr>
              <w:rFonts w:cstheme="minorHAnsi"/>
              <w:lang w:val="cy-GB"/>
            </w:rPr>
            <w:t>Strwythurau Cyfarfodydd</w:t>
          </w:r>
          <w:r w:rsidR="00A95DE8" w:rsidRPr="004C7D66">
            <w:rPr>
              <w:rFonts w:cstheme="minorHAnsi"/>
              <w:lang w:val="cy-GB"/>
            </w:rPr>
            <w:tab/>
          </w:r>
          <w:r w:rsidR="00434C49" w:rsidRPr="004C7D66">
            <w:rPr>
              <w:rFonts w:cstheme="minorHAnsi"/>
              <w:lang w:val="cy-GB"/>
            </w:rPr>
            <w:t>6</w:t>
          </w:r>
        </w:p>
        <w:p w:rsidR="006D4307" w:rsidRPr="004C7D66" w:rsidRDefault="00B13ECD" w:rsidP="00A95DE8">
          <w:pPr>
            <w:rPr>
              <w:rFonts w:cstheme="minorHAnsi"/>
              <w:lang w:val="cy-GB" w:bidi="en-US"/>
            </w:rPr>
          </w:pPr>
        </w:p>
      </w:sdtContent>
    </w:sdt>
    <w:p w:rsidR="001D45A0" w:rsidRPr="004C7D66" w:rsidRDefault="001D45A0" w:rsidP="009649C4">
      <w:pPr>
        <w:pStyle w:val="Heading1"/>
        <w:jc w:val="both"/>
        <w:rPr>
          <w:rFonts w:asciiTheme="minorHAnsi" w:hAnsiTheme="minorHAnsi" w:cstheme="minorHAnsi"/>
          <w:b w:val="0"/>
          <w:color w:val="0070C0"/>
          <w:sz w:val="22"/>
          <w:szCs w:val="22"/>
          <w:lang w:val="cy-GB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A95DE8" w:rsidRPr="004C7D66" w:rsidRDefault="00A95DE8" w:rsidP="00920DF9">
      <w:pPr>
        <w:rPr>
          <w:rFonts w:cstheme="minorHAnsi"/>
          <w:lang w:val="cy-GB" w:bidi="en-US"/>
        </w:rPr>
      </w:pPr>
    </w:p>
    <w:p w:rsidR="00A95DE8" w:rsidRPr="004C7D66" w:rsidRDefault="00A95DE8" w:rsidP="00920DF9">
      <w:pPr>
        <w:rPr>
          <w:rFonts w:cstheme="minorHAnsi"/>
          <w:lang w:val="cy-GB" w:bidi="en-US"/>
        </w:rPr>
      </w:pPr>
    </w:p>
    <w:p w:rsidR="00A95DE8" w:rsidRPr="004C7D66" w:rsidRDefault="00A95DE8" w:rsidP="00920DF9">
      <w:pPr>
        <w:rPr>
          <w:rFonts w:cstheme="minorHAnsi"/>
          <w:lang w:val="cy-GB" w:bidi="en-US"/>
        </w:rPr>
      </w:pPr>
    </w:p>
    <w:p w:rsidR="00A95DE8" w:rsidRPr="004C7D66" w:rsidRDefault="00A95DE8" w:rsidP="00920DF9">
      <w:pPr>
        <w:rPr>
          <w:rFonts w:cstheme="minorHAnsi"/>
          <w:lang w:val="cy-GB" w:bidi="en-US"/>
        </w:rPr>
      </w:pPr>
    </w:p>
    <w:p w:rsidR="00A95DE8" w:rsidRPr="004C7D66" w:rsidRDefault="00A95DE8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920DF9" w:rsidRPr="004C7D66" w:rsidRDefault="00920DF9" w:rsidP="00920DF9">
      <w:pPr>
        <w:rPr>
          <w:rFonts w:cstheme="minorHAnsi"/>
          <w:lang w:val="cy-GB" w:bidi="en-US"/>
        </w:rPr>
      </w:pPr>
    </w:p>
    <w:p w:rsidR="00496BBF" w:rsidRPr="004C7D66" w:rsidRDefault="00496BBF" w:rsidP="00920DF9">
      <w:pPr>
        <w:rPr>
          <w:rFonts w:cstheme="minorHAnsi"/>
          <w:lang w:val="cy-GB" w:bidi="en-US"/>
        </w:rPr>
      </w:pPr>
    </w:p>
    <w:p w:rsidR="009D1A66" w:rsidRPr="004C7D66" w:rsidRDefault="009D1A66" w:rsidP="00920DF9">
      <w:pPr>
        <w:rPr>
          <w:rFonts w:cstheme="minorHAnsi"/>
          <w:lang w:val="cy-GB" w:bidi="en-US"/>
        </w:rPr>
      </w:pPr>
    </w:p>
    <w:p w:rsidR="00BD2A2E" w:rsidRPr="004C7D66" w:rsidRDefault="00BD2A2E" w:rsidP="00920DF9">
      <w:pPr>
        <w:rPr>
          <w:rFonts w:cstheme="minorHAnsi"/>
          <w:lang w:val="cy-GB" w:bidi="en-US"/>
        </w:rPr>
      </w:pPr>
    </w:p>
    <w:bookmarkEnd w:id="1"/>
    <w:p w:rsidR="001C5E40" w:rsidRPr="004C7D66" w:rsidRDefault="000409C2" w:rsidP="00E32404">
      <w:pPr>
        <w:pStyle w:val="Heading1"/>
        <w:numPr>
          <w:ilvl w:val="0"/>
          <w:numId w:val="16"/>
        </w:numPr>
        <w:jc w:val="both"/>
        <w:rPr>
          <w:rFonts w:asciiTheme="minorHAnsi" w:hAnsiTheme="minorHAnsi" w:cstheme="minorHAnsi"/>
          <w:sz w:val="40"/>
          <w:szCs w:val="40"/>
          <w:lang w:val="cy-GB"/>
        </w:rPr>
      </w:pPr>
      <w:r>
        <w:rPr>
          <w:rFonts w:asciiTheme="minorHAnsi" w:hAnsiTheme="minorHAnsi" w:cstheme="minorHAnsi"/>
          <w:b w:val="0"/>
          <w:color w:val="0070C0"/>
          <w:sz w:val="40"/>
          <w:szCs w:val="40"/>
          <w:lang w:val="cy-GB"/>
        </w:rPr>
        <w:lastRenderedPageBreak/>
        <w:t>Crynodeb Gweithredol</w:t>
      </w:r>
    </w:p>
    <w:p w:rsidR="00263BF2" w:rsidRPr="00696E15" w:rsidRDefault="00792055" w:rsidP="00B118ED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>
        <w:rPr>
          <w:rFonts w:ascii="Times New Roman" w:hAnsi="Times New Roman" w:cs="Times New Roman"/>
          <w:lang w:val="cy-GB"/>
        </w:rPr>
        <w:br/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Fel rhan o Orchymyn Protocol Plismona 2011, mae’n ofynnol monitro pob cwyn a wneir yn erbyn swyddogion a staff </w:t>
      </w:r>
      <w:r w:rsidRPr="001E60D2">
        <w:rPr>
          <w:rFonts w:ascii="Calibri" w:hAnsi="Calibri" w:cs="Calibri"/>
          <w:b w:val="0"/>
          <w:sz w:val="22"/>
          <w:szCs w:val="22"/>
          <w:lang w:val="cy-GB"/>
        </w:rPr>
        <w:t>(</w:t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>Rhan 1 A17(n)). Gan hynny, diben y ddogfen hon yw darparu cynllun gweithredu mewn perthynas â monitro/archwilio materion cwyn</w:t>
      </w:r>
      <w:r w:rsidR="001E60D2">
        <w:rPr>
          <w:rFonts w:ascii="Calibri" w:hAnsi="Calibri" w:cs="Calibri"/>
          <w:b w:val="0"/>
          <w:bCs w:val="0"/>
          <w:sz w:val="22"/>
          <w:szCs w:val="22"/>
          <w:lang w:val="cy-GB"/>
        </w:rPr>
        <w:t>ion</w:t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 yn fewnol h.y. cwynion sy’n cael eu codi gyda SCHTh ac yn allanol</w:t>
      </w:r>
      <w:r w:rsidR="001E60D2">
        <w:rPr>
          <w:rFonts w:ascii="Calibri" w:hAnsi="Calibri" w:cs="Calibri"/>
          <w:b w:val="0"/>
          <w:bCs w:val="0"/>
          <w:sz w:val="22"/>
          <w:szCs w:val="22"/>
          <w:lang w:val="cy-GB"/>
        </w:rPr>
        <w:t>,</w:t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 h.y. cwynion sy’n cael eu codi gyda Heddlu Dyfed-Powys, Swyddfa Annibynnol Ymddygiad yr Heddlu ac ati. </w:t>
      </w:r>
      <w:r w:rsidRPr="00696E15">
        <w:rPr>
          <w:rFonts w:ascii="Times New Roman" w:hAnsi="Times New Roman" w:cs="Times New Roman"/>
          <w:sz w:val="22"/>
          <w:szCs w:val="22"/>
          <w:lang w:val="cy-GB"/>
        </w:rPr>
        <w:br/>
      </w:r>
      <w:r w:rsidRPr="00696E15">
        <w:rPr>
          <w:rFonts w:ascii="Times New Roman" w:hAnsi="Times New Roman" w:cs="Times New Roman"/>
          <w:sz w:val="22"/>
          <w:szCs w:val="22"/>
          <w:lang w:val="cy-GB"/>
        </w:rPr>
        <w:br/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Nid ymyrryd â’r broses apêl o dan Ddeddf Diwygio’r Heddlu 2002 yw diben y ddogfen hon. Dim ond y llysoedd </w:t>
      </w:r>
      <w:r w:rsidR="001E60D2">
        <w:rPr>
          <w:rFonts w:ascii="Calibri" w:hAnsi="Calibri" w:cs="Calibri"/>
          <w:b w:val="0"/>
          <w:bCs w:val="0"/>
          <w:sz w:val="22"/>
          <w:szCs w:val="22"/>
          <w:lang w:val="cy-GB"/>
        </w:rPr>
        <w:t>sy’n medru</w:t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 </w:t>
      </w:r>
      <w:r w:rsidR="001E60D2">
        <w:rPr>
          <w:rFonts w:ascii="Calibri" w:hAnsi="Calibri" w:cs="Calibri"/>
          <w:b w:val="0"/>
          <w:bCs w:val="0"/>
          <w:sz w:val="22"/>
          <w:szCs w:val="22"/>
          <w:lang w:val="cy-GB"/>
        </w:rPr>
        <w:t>g</w:t>
      </w:r>
      <w:r w:rsidRPr="00696E15">
        <w:rPr>
          <w:rFonts w:ascii="Calibri" w:hAnsi="Calibri" w:cs="Calibri"/>
          <w:b w:val="0"/>
          <w:bCs w:val="0"/>
          <w:sz w:val="22"/>
          <w:szCs w:val="22"/>
          <w:lang w:val="cy-GB"/>
        </w:rPr>
        <w:t xml:space="preserve">wyrdroi unrhyw benderfyniad a wneir gan y Corff Apêl Perthnasol drwy’r Broses Adolygiad Barnwrol. </w:t>
      </w:r>
      <w:r w:rsidRPr="00696E15">
        <w:rPr>
          <w:rFonts w:ascii="Times New Roman" w:hAnsi="Times New Roman" w:cs="Times New Roman"/>
          <w:sz w:val="22"/>
          <w:szCs w:val="22"/>
          <w:lang w:val="cy-GB"/>
        </w:rPr>
        <w:br/>
      </w:r>
    </w:p>
    <w:p w:rsidR="00263BF2" w:rsidRPr="004C7D66" w:rsidRDefault="000409C2" w:rsidP="00263BF2">
      <w:pPr>
        <w:pStyle w:val="ListParagraph"/>
        <w:numPr>
          <w:ilvl w:val="0"/>
          <w:numId w:val="16"/>
        </w:numPr>
        <w:rPr>
          <w:rFonts w:cstheme="minorHAnsi"/>
          <w:b/>
          <w:sz w:val="40"/>
          <w:szCs w:val="40"/>
          <w:lang w:val="cy-GB"/>
        </w:rPr>
      </w:pPr>
      <w:r>
        <w:rPr>
          <w:rFonts w:cstheme="minorHAnsi"/>
          <w:color w:val="0070C0"/>
          <w:sz w:val="40"/>
          <w:szCs w:val="40"/>
          <w:lang w:val="cy-GB"/>
        </w:rPr>
        <w:t>Hap Samplo Ansawdd Gwasanaeth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Pwy</w:t>
      </w:r>
    </w:p>
    <w:p w:rsidR="00263BF2" w:rsidRPr="004C7D66" w:rsidRDefault="000409C2" w:rsidP="00263BF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Gweithiwr Achos Ansawdd Gwasanaeth a/neu unrhyw </w:t>
      </w:r>
      <w:r w:rsidR="001E60D2">
        <w:rPr>
          <w:rFonts w:cstheme="minorHAnsi"/>
          <w:lang w:val="cy-GB"/>
        </w:rPr>
        <w:t>un arall</w:t>
      </w:r>
      <w:r>
        <w:rPr>
          <w:rFonts w:cstheme="minorHAnsi"/>
          <w:lang w:val="cy-GB"/>
        </w:rPr>
        <w:t xml:space="preserve"> a awdurdodir gan y Comisiynydd. 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Beth</w:t>
      </w:r>
    </w:p>
    <w:p w:rsidR="00BC42F7" w:rsidRPr="004C7D66" w:rsidRDefault="000409C2" w:rsidP="00263BF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Hap samplo achosion cwyn sydd wedi cau a </w:t>
      </w:r>
      <w:r w:rsidR="003A3FE5">
        <w:rPr>
          <w:rFonts w:cstheme="minorHAnsi"/>
          <w:lang w:val="cy-GB"/>
        </w:rPr>
        <w:t xml:space="preserve">mynegiannau o anfodlonrwydd sydd wedi’u datrys gan y gwasanaeth. 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Ble</w:t>
      </w:r>
    </w:p>
    <w:p w:rsidR="00263BF2" w:rsidRPr="004C7D66" w:rsidRDefault="000409C2" w:rsidP="00263BF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Swyddfa’r Comisiynydd.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Pam</w:t>
      </w:r>
    </w:p>
    <w:p w:rsidR="00BC42F7" w:rsidRPr="004C7D66" w:rsidRDefault="000409C2" w:rsidP="00BC42F7">
      <w:pPr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Rôl hap samplo yw craffu ar berfformiad proses rheoli cwynion yr heddlu. Dywed nifer y cwynion yn erbyn yr heddlu sy’n cael eu trin gan Adran Safonau Proffesiynol Heddlu Dyfed-Powys y byddai’n anymarferol i’r Comisiynydd oruchwylio pob</w:t>
      </w:r>
      <w:r w:rsidR="001E60D2">
        <w:rPr>
          <w:rFonts w:cstheme="minorHAnsi"/>
          <w:lang w:val="cy-GB"/>
        </w:rPr>
        <w:t xml:space="preserve"> achos</w:t>
      </w:r>
      <w:r>
        <w:rPr>
          <w:rFonts w:cstheme="minorHAnsi"/>
          <w:lang w:val="cy-GB"/>
        </w:rPr>
        <w:t xml:space="preserve"> cwyn. Mae hap samplo achosion o’r fath yn </w:t>
      </w:r>
      <w:r w:rsidR="009D17B5">
        <w:rPr>
          <w:rFonts w:cstheme="minorHAnsi"/>
          <w:lang w:val="cy-GB"/>
        </w:rPr>
        <w:t>galluogi’r</w:t>
      </w:r>
      <w:r>
        <w:rPr>
          <w:rFonts w:cstheme="minorHAnsi"/>
          <w:lang w:val="cy-GB"/>
        </w:rPr>
        <w:t xml:space="preserve"> Comisiynydd</w:t>
      </w:r>
      <w:r w:rsidR="009D17B5">
        <w:rPr>
          <w:rFonts w:cstheme="minorHAnsi"/>
          <w:lang w:val="cy-GB"/>
        </w:rPr>
        <w:t xml:space="preserve"> i</w:t>
      </w:r>
      <w:r>
        <w:rPr>
          <w:rFonts w:cstheme="minorHAnsi"/>
          <w:lang w:val="cy-GB"/>
        </w:rPr>
        <w:t xml:space="preserve"> gyflawni ei gyfrifoldeb i fonitro a goruchwylio o dan y ddeddfwriaeth.</w:t>
      </w:r>
      <w:r w:rsidR="00BC42F7" w:rsidRPr="004C7D6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Nid adolygu’r penderfyniad terfynol mewn achosion unigol yw diben hap samplo, ond yn hytrach, ymgymryd ag adolygiad cyffredinol o gydymffurfiaeth â gweithdrefnau, technegau trin cwynion a chyfiawnder naturiol er mwyn sicrhau hyder cyhoeddus yn system gwyno’r heddlu. Dylid defnyddio hap samplo ymhellach fel arf ar gyfer adnabod deilliannau dysgu a thueddiadau i’w trafod a’u gweithredu </w:t>
      </w:r>
      <w:r w:rsidR="009D17B5">
        <w:rPr>
          <w:rFonts w:cstheme="minorHAnsi"/>
          <w:lang w:val="cy-GB"/>
        </w:rPr>
        <w:t>gyda</w:t>
      </w:r>
      <w:r>
        <w:rPr>
          <w:rFonts w:cstheme="minorHAnsi"/>
          <w:lang w:val="cy-GB"/>
        </w:rPr>
        <w:t xml:space="preserve"> Heddlu Dyfed-Powys </w:t>
      </w:r>
      <w:r w:rsidR="00BC42F7" w:rsidRPr="004C7D66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gweler yr adran</w:t>
      </w:r>
      <w:r w:rsidR="00BC42F7" w:rsidRPr="004C7D66">
        <w:rPr>
          <w:rFonts w:cstheme="minorHAnsi"/>
          <w:lang w:val="cy-GB"/>
        </w:rPr>
        <w:t xml:space="preserve"> </w:t>
      </w:r>
      <w:r w:rsidRPr="000409C2">
        <w:rPr>
          <w:rFonts w:cstheme="minorHAnsi"/>
          <w:lang w:val="cy-GB"/>
        </w:rPr>
        <w:t>Dadansoddi Tueddiadau – Asesiad Ystadegol</w:t>
      </w:r>
      <w:r w:rsidR="00BC42F7" w:rsidRPr="004C7D66">
        <w:rPr>
          <w:rFonts w:cstheme="minorHAnsi"/>
          <w:lang w:val="cy-GB"/>
        </w:rPr>
        <w:t>).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Pryd</w:t>
      </w:r>
    </w:p>
    <w:p w:rsidR="00263BF2" w:rsidRPr="004C7D66" w:rsidRDefault="000409C2" w:rsidP="00263BF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Chwarterol.</w:t>
      </w:r>
    </w:p>
    <w:p w:rsidR="00263BF2" w:rsidRPr="004C7D66" w:rsidRDefault="000409C2" w:rsidP="00263BF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Sut</w:t>
      </w:r>
    </w:p>
    <w:p w:rsidR="001C5E40" w:rsidRPr="004C7D66" w:rsidRDefault="000409C2" w:rsidP="001C5E4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Glynir wrth y polisi hap samplo. Cynhelir hap samplo chwarterol gan ddilyn rhaglen benodol, heblaw bod materion thematig neu bryderon yn cael eu codi</w:t>
      </w:r>
      <w:r w:rsidR="006214C8" w:rsidRPr="004C7D66">
        <w:rPr>
          <w:rFonts w:cstheme="minorHAnsi"/>
          <w:lang w:val="cy-GB"/>
        </w:rPr>
        <w:t xml:space="preserve">. </w:t>
      </w:r>
      <w:r>
        <w:rPr>
          <w:rFonts w:cstheme="minorHAnsi"/>
          <w:lang w:val="cy-GB"/>
        </w:rPr>
        <w:t>Bydd yr hap samplo hwn yn rhedeg ochr yn ochr â llinynnau allweddol thematig Swyddfa Annibynnol Ymddygiad yr Heddlu (IOPC) gan alluogi SCHTh a’r IOPC i rannu arfer da a bwrw ymlae</w:t>
      </w:r>
      <w:r w:rsidR="00FA2C49">
        <w:rPr>
          <w:rFonts w:cstheme="minorHAnsi"/>
          <w:lang w:val="cy-GB"/>
        </w:rPr>
        <w:t>n ag unrhyw bwyntiau ar gyfer</w:t>
      </w:r>
      <w:r>
        <w:rPr>
          <w:rFonts w:cstheme="minorHAnsi"/>
          <w:lang w:val="cy-GB"/>
        </w:rPr>
        <w:t xml:space="preserve"> gweithredu. Gall meysydd gwaith eraill o fewn tîm y Comisiynydd hefyd </w:t>
      </w:r>
      <w:r w:rsidR="00363416">
        <w:rPr>
          <w:rFonts w:cstheme="minorHAnsi"/>
          <w:lang w:val="cy-GB"/>
        </w:rPr>
        <w:t>gyfrannu at y</w:t>
      </w:r>
      <w:r>
        <w:rPr>
          <w:rFonts w:cstheme="minorHAnsi"/>
          <w:lang w:val="cy-GB"/>
        </w:rPr>
        <w:t xml:space="preserve"> rhaglen hap samplo</w:t>
      </w:r>
      <w:r w:rsidR="00363416">
        <w:rPr>
          <w:rFonts w:cstheme="minorHAnsi"/>
          <w:lang w:val="cy-GB"/>
        </w:rPr>
        <w:t>, a bydd hynny</w:t>
      </w:r>
      <w:r>
        <w:rPr>
          <w:rFonts w:cstheme="minorHAnsi"/>
          <w:lang w:val="cy-GB"/>
        </w:rPr>
        <w:t xml:space="preserve">, yn ei dro, yn </w:t>
      </w:r>
      <w:r w:rsidR="00363416">
        <w:rPr>
          <w:rFonts w:cstheme="minorHAnsi"/>
          <w:lang w:val="cy-GB"/>
        </w:rPr>
        <w:t>cyfrannu at</w:t>
      </w:r>
      <w:r>
        <w:rPr>
          <w:rFonts w:cstheme="minorHAnsi"/>
          <w:lang w:val="cy-GB"/>
        </w:rPr>
        <w:t xml:space="preserve"> raglen hap samplo ehangach o graffu. Cyflwynir canlyniadau hyn i Gomisiynydd yr Heddlu a Throseddu. </w:t>
      </w:r>
    </w:p>
    <w:p w:rsidR="001C5E40" w:rsidRPr="004C7D66" w:rsidRDefault="000409C2" w:rsidP="001C5E40">
      <w:pPr>
        <w:pStyle w:val="ListParagraph"/>
        <w:numPr>
          <w:ilvl w:val="0"/>
          <w:numId w:val="16"/>
        </w:numPr>
        <w:jc w:val="both"/>
        <w:rPr>
          <w:rFonts w:cstheme="minorHAnsi"/>
          <w:sz w:val="40"/>
          <w:szCs w:val="40"/>
          <w:lang w:val="cy-GB"/>
        </w:rPr>
      </w:pPr>
      <w:r w:rsidRPr="000409C2">
        <w:rPr>
          <w:rFonts w:cstheme="minorHAnsi"/>
          <w:color w:val="0070C0"/>
          <w:sz w:val="40"/>
          <w:szCs w:val="40"/>
          <w:lang w:val="cy-GB"/>
        </w:rPr>
        <w:t>Dadansoddi Tueddiadau – Asesiad Ystadegol</w:t>
      </w:r>
    </w:p>
    <w:p w:rsidR="001C5E40" w:rsidRPr="004C7D66" w:rsidRDefault="001874D7" w:rsidP="001C5E40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Pwy</w:t>
      </w:r>
    </w:p>
    <w:p w:rsidR="001C5E40" w:rsidRPr="004C7D66" w:rsidRDefault="001874D7" w:rsidP="001C5E4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Gweithiwr Achos Ansawdd Gwasanaeth </w:t>
      </w:r>
    </w:p>
    <w:p w:rsidR="007069B4" w:rsidRPr="004C7D66" w:rsidRDefault="00792055" w:rsidP="001C5E40">
      <w:pPr>
        <w:rPr>
          <w:rFonts w:cstheme="minorHAnsi"/>
          <w:lang w:val="cy-GB"/>
        </w:rPr>
      </w:pPr>
      <w:r>
        <w:rPr>
          <w:rFonts w:ascii="Calibri" w:hAnsi="Calibri" w:cs="Calibri"/>
          <w:b/>
          <w:bCs/>
          <w:lang w:val="cy-GB"/>
        </w:rPr>
        <w:t>Beth</w:t>
      </w:r>
      <w:r>
        <w:rPr>
          <w:rFonts w:ascii="Times New Roman" w:hAnsi="Times New Roman" w:cs="Times New Roman"/>
          <w:b/>
          <w:bCs/>
          <w:lang w:val="cy-GB"/>
        </w:rPr>
        <w:br/>
      </w:r>
      <w:r>
        <w:rPr>
          <w:rFonts w:ascii="Times New Roman" w:hAnsi="Times New Roman" w:cs="Times New Roman"/>
          <w:b/>
          <w:bCs/>
          <w:lang w:val="cy-GB"/>
        </w:rPr>
        <w:br/>
      </w:r>
      <w:r>
        <w:rPr>
          <w:rFonts w:ascii="Calibri" w:hAnsi="Calibri" w:cs="Calibri"/>
          <w:lang w:val="cy-GB"/>
        </w:rPr>
        <w:t xml:space="preserve">Dadansoddir y dogfennau a amlinellir </w:t>
      </w:r>
      <w:r w:rsidR="00CD078C">
        <w:rPr>
          <w:rFonts w:ascii="Calibri" w:hAnsi="Calibri" w:cs="Calibri"/>
          <w:lang w:val="cy-GB"/>
        </w:rPr>
        <w:t>isod</w:t>
      </w:r>
      <w:r>
        <w:rPr>
          <w:rFonts w:ascii="Calibri" w:hAnsi="Calibri" w:cs="Calibri"/>
          <w:lang w:val="cy-GB"/>
        </w:rPr>
        <w:t xml:space="preserve"> er mwyn adnabod unrhyw dueddiadau neu batrymau a all ddod i’r amlwg </w:t>
      </w:r>
      <w:r w:rsidR="00B7026E">
        <w:rPr>
          <w:rFonts w:ascii="Calibri" w:hAnsi="Calibri" w:cs="Calibri"/>
          <w:lang w:val="cy-GB"/>
        </w:rPr>
        <w:t>i lywio’r ffordd yr ymdrinnir</w:t>
      </w:r>
      <w:r w:rsidR="00B7026E" w:rsidRPr="00B7026E"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t xml:space="preserve">â chwynion, neu os oes materion penodol yn amlwg mewn meysydd cwyn penodol: </w:t>
      </w:r>
      <w:r w:rsidR="00B7026E">
        <w:rPr>
          <w:rFonts w:ascii="Calibri" w:hAnsi="Calibri" w:cs="Calibri"/>
          <w:lang w:val="cy-GB"/>
        </w:rPr>
        <w:t xml:space="preserve"> </w:t>
      </w:r>
      <w:r>
        <w:rPr>
          <w:rFonts w:ascii="Times New Roman" w:hAnsi="Times New Roman" w:cs="Times New Roman"/>
          <w:lang w:val="cy-GB"/>
        </w:rPr>
        <w:br/>
      </w:r>
      <w:r>
        <w:rPr>
          <w:rFonts w:ascii="Times New Roman" w:hAnsi="Times New Roman" w:cs="Times New Roman"/>
          <w:lang w:val="cy-GB"/>
        </w:rPr>
        <w:br/>
      </w:r>
      <w:r>
        <w:rPr>
          <w:rFonts w:ascii="Calibri" w:hAnsi="Calibri" w:cs="Calibri"/>
          <w:lang w:val="cy-GB"/>
        </w:rPr>
        <w:t xml:space="preserve">Bwletin Gwybodaeth yr IOPC am Gwynion Chwarterol  </w:t>
      </w:r>
      <w:r>
        <w:rPr>
          <w:rFonts w:ascii="Calibri" w:hAnsi="Calibri" w:cs="Calibri"/>
          <w:lang w:val="cy-GB"/>
        </w:rPr>
        <w:br/>
        <w:t xml:space="preserve">Crynodebau ymchwiliadau'r IOPC ac argymhellion dysgu </w:t>
      </w:r>
      <w:r>
        <w:rPr>
          <w:rFonts w:ascii="Times New Roman" w:hAnsi="Times New Roman" w:cs="Times New Roman"/>
          <w:lang w:val="cy-GB"/>
        </w:rPr>
        <w:br/>
      </w:r>
      <w:r>
        <w:rPr>
          <w:rFonts w:ascii="Calibri" w:hAnsi="Calibri" w:cs="Calibri"/>
          <w:lang w:val="cy-GB"/>
        </w:rPr>
        <w:t xml:space="preserve">Bwletin Dysgu’r Gwersi yr IOPC </w:t>
      </w:r>
      <w:r>
        <w:rPr>
          <w:rFonts w:ascii="Calibri" w:hAnsi="Calibri" w:cs="Calibri"/>
          <w:lang w:val="cy-GB"/>
        </w:rPr>
        <w:br/>
        <w:t>Adroddiad Ystadegol Chwarterol - Data'r Adran Safonau Proffesiynol</w:t>
      </w:r>
    </w:p>
    <w:p w:rsidR="001C5E40" w:rsidRPr="004C7D66" w:rsidRDefault="001874D7" w:rsidP="001C5E40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Ble</w:t>
      </w:r>
    </w:p>
    <w:p w:rsidR="001C5E40" w:rsidRPr="004C7D66" w:rsidRDefault="001874D7" w:rsidP="001C5E4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Swyddfa’r Comisiynydd </w:t>
      </w:r>
    </w:p>
    <w:p w:rsidR="001C5E40" w:rsidRPr="004C7D66" w:rsidRDefault="001874D7" w:rsidP="001C5E40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Pam</w:t>
      </w:r>
    </w:p>
    <w:p w:rsidR="001C5E40" w:rsidRPr="004C7D66" w:rsidRDefault="00FE6D90" w:rsidP="001C5E4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Defnyddir dadansoddi tueddiadau fel arf i fesur perfformiad ar gyfer yr Adran Safonau Proffesiynol, Swyddfa Comisiynydd yr Heddlu a Throseddu, a pherfformiad ar draws Heddlu Dyfed-Powys gyfan. Bydd yn </w:t>
      </w:r>
      <w:r w:rsidR="00362F62">
        <w:rPr>
          <w:rFonts w:cstheme="minorHAnsi"/>
          <w:lang w:val="cy-GB"/>
        </w:rPr>
        <w:t xml:space="preserve">dweud wrthym sut </w:t>
      </w:r>
      <w:r>
        <w:rPr>
          <w:rFonts w:cstheme="minorHAnsi"/>
          <w:lang w:val="cy-GB"/>
        </w:rPr>
        <w:t xml:space="preserve">mae’r Adran Safonau Proffesiynol yn ymdrin â’u cwynion ochr yn ochr â’n systemau’n hun ar gyfer </w:t>
      </w:r>
      <w:r w:rsidR="00362F62">
        <w:rPr>
          <w:rFonts w:cstheme="minorHAnsi"/>
          <w:lang w:val="cy-GB"/>
        </w:rPr>
        <w:t>trin c</w:t>
      </w:r>
      <w:r>
        <w:rPr>
          <w:rFonts w:cstheme="minorHAnsi"/>
          <w:lang w:val="cy-GB"/>
        </w:rPr>
        <w:t xml:space="preserve">wynion, ond bydd hefyd yn </w:t>
      </w:r>
      <w:r w:rsidR="00362F62">
        <w:rPr>
          <w:rFonts w:cstheme="minorHAnsi"/>
          <w:lang w:val="cy-GB"/>
        </w:rPr>
        <w:t>dweud wrthym</w:t>
      </w:r>
      <w:r>
        <w:rPr>
          <w:rFonts w:cstheme="minorHAnsi"/>
          <w:lang w:val="cy-GB"/>
        </w:rPr>
        <w:t xml:space="preserve"> pan mae materion ailadroddus neu faterion </w:t>
      </w:r>
      <w:r w:rsidR="00362F62">
        <w:rPr>
          <w:rFonts w:cstheme="minorHAnsi"/>
          <w:lang w:val="cy-GB"/>
        </w:rPr>
        <w:t xml:space="preserve">pellach </w:t>
      </w:r>
      <w:r>
        <w:rPr>
          <w:rFonts w:cstheme="minorHAnsi"/>
          <w:lang w:val="cy-GB"/>
        </w:rPr>
        <w:t>sydd wedi lledaenu’n e</w:t>
      </w:r>
      <w:r w:rsidR="005151E7">
        <w:rPr>
          <w:rFonts w:cstheme="minorHAnsi"/>
          <w:lang w:val="cy-GB"/>
        </w:rPr>
        <w:t xml:space="preserve">ang </w:t>
      </w:r>
      <w:r>
        <w:rPr>
          <w:rFonts w:cstheme="minorHAnsi"/>
          <w:lang w:val="cy-GB"/>
        </w:rPr>
        <w:t>sydd angen eu trin y tu allan i’r maes cwynion</w:t>
      </w:r>
      <w:r w:rsidR="00535793" w:rsidRPr="004C7D66">
        <w:rPr>
          <w:rFonts w:cstheme="minorHAnsi"/>
          <w:lang w:val="cy-GB"/>
        </w:rPr>
        <w:t>.</w:t>
      </w:r>
    </w:p>
    <w:p w:rsidR="00C106EA" w:rsidRPr="004C7D66" w:rsidRDefault="001874D7" w:rsidP="001C5E40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Pryd</w:t>
      </w:r>
    </w:p>
    <w:p w:rsidR="00C106EA" w:rsidRPr="004C7D66" w:rsidRDefault="001874D7" w:rsidP="001C5E4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Pob chwe mis</w:t>
      </w:r>
    </w:p>
    <w:p w:rsidR="00C106EA" w:rsidRPr="004C7D66" w:rsidRDefault="001874D7" w:rsidP="001C5E40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Sut</w:t>
      </w:r>
    </w:p>
    <w:p w:rsidR="00E44B03" w:rsidRPr="004C7D66" w:rsidRDefault="008F5629" w:rsidP="00E44B0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Mae</w:t>
      </w:r>
      <w:r w:rsidR="00215EEA">
        <w:rPr>
          <w:rFonts w:cstheme="minorHAnsi"/>
          <w:lang w:val="cy-GB"/>
        </w:rPr>
        <w:t xml:space="preserve"> taenlen Dangosydd Perfformiad Allweddol</w:t>
      </w:r>
      <w:r>
        <w:rPr>
          <w:rFonts w:cstheme="minorHAnsi"/>
          <w:lang w:val="cy-GB"/>
        </w:rPr>
        <w:t xml:space="preserve"> yn cael ei chynnal</w:t>
      </w:r>
      <w:r w:rsidR="00215EEA">
        <w:rPr>
          <w:rFonts w:cstheme="minorHAnsi"/>
          <w:lang w:val="cy-GB"/>
        </w:rPr>
        <w:t xml:space="preserve"> mewn perthynas â phob cwyn a dderbynnir gan Swyddfa’r Comisiynydd. Bydd y </w:t>
      </w:r>
      <w:r w:rsidRPr="008F5629">
        <w:rPr>
          <w:rFonts w:cstheme="minorHAnsi"/>
          <w:lang w:val="cy-GB"/>
        </w:rPr>
        <w:t xml:space="preserve">Gweithiwr Achos Ansawdd Gwasanaeth </w:t>
      </w:r>
      <w:r>
        <w:rPr>
          <w:rFonts w:cstheme="minorHAnsi"/>
          <w:lang w:val="cy-GB"/>
        </w:rPr>
        <w:t xml:space="preserve">yn astudio’r </w:t>
      </w:r>
      <w:r w:rsidR="00215EEA">
        <w:rPr>
          <w:rFonts w:cstheme="minorHAnsi"/>
          <w:lang w:val="cy-GB"/>
        </w:rPr>
        <w:t xml:space="preserve">dogfennau y sonnir amdanynt uchod er mwyn pennu pa un ai a oes unrhyw dueddiadau neu batrymau’n amlwg o’r wybodaeth. </w:t>
      </w:r>
      <w:r w:rsidR="00215EEA" w:rsidRPr="00CE7594">
        <w:rPr>
          <w:rFonts w:cstheme="minorHAnsi"/>
          <w:lang w:val="cy-GB"/>
        </w:rPr>
        <w:t xml:space="preserve">Bydd y canlyniadau hyn yn </w:t>
      </w:r>
      <w:r w:rsidRPr="00CE7594">
        <w:rPr>
          <w:rFonts w:cstheme="minorHAnsi"/>
          <w:lang w:val="cy-GB"/>
        </w:rPr>
        <w:t>cyfrannu at yr</w:t>
      </w:r>
      <w:r w:rsidR="00215EEA" w:rsidRPr="00CE7594">
        <w:rPr>
          <w:rFonts w:cstheme="minorHAnsi"/>
          <w:lang w:val="cy-GB"/>
        </w:rPr>
        <w:t xml:space="preserve"> adroddiad Dangosydd Perfformiad Allweddol, a bydd yr Adran Safonau Proffesiynol hefyd yn eu derbyn.</w:t>
      </w:r>
      <w:r w:rsidR="00215EEA">
        <w:rPr>
          <w:rFonts w:cstheme="minorHAnsi"/>
          <w:lang w:val="cy-GB"/>
        </w:rPr>
        <w:t xml:space="preserve"> Yn y pen draw, bydd y canlyniadau’n cael eu cyflwyno i’r Bwrdd Plismona ar gyfer adborth a’u cyhoeddi ar wefan y Comisiynydd er mwyn dangos i’r cyhoedd ein bod ni’n dal y Prif Gwnstabl i gyfrif mewn perthynas â’r ffordd y mae cwynion yn cael eu trin. </w:t>
      </w:r>
      <w:bookmarkStart w:id="3" w:name="_Toc495581411"/>
    </w:p>
    <w:p w:rsidR="00E44B03" w:rsidRPr="004C7D66" w:rsidRDefault="00215EEA" w:rsidP="00E44B03">
      <w:pPr>
        <w:jc w:val="both"/>
        <w:rPr>
          <w:rFonts w:eastAsiaTheme="majorEastAsia" w:cstheme="minorHAnsi"/>
          <w:b/>
          <w:bCs/>
          <w:color w:val="0070C0"/>
          <w:lang w:val="cy-GB"/>
        </w:rPr>
      </w:pPr>
      <w:r>
        <w:rPr>
          <w:rFonts w:eastAsiaTheme="majorEastAsia" w:cstheme="minorHAnsi"/>
          <w:b/>
          <w:bCs/>
          <w:color w:val="0070C0"/>
          <w:lang w:val="cy-GB"/>
        </w:rPr>
        <w:t>Craffu Dwys</w:t>
      </w:r>
    </w:p>
    <w:p w:rsidR="00812F46" w:rsidRPr="004C7D66" w:rsidRDefault="002D5B07" w:rsidP="000F2DBC">
      <w:pPr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Dadansoddi</w:t>
      </w:r>
      <w:r w:rsidR="005151E7">
        <w:rPr>
          <w:rFonts w:cstheme="minorHAnsi"/>
          <w:lang w:val="cy-GB"/>
        </w:rPr>
        <w:t xml:space="preserve"> tueddiadau – </w:t>
      </w:r>
      <w:r>
        <w:rPr>
          <w:rFonts w:cstheme="minorHAnsi"/>
          <w:lang w:val="cy-GB"/>
        </w:rPr>
        <w:t xml:space="preserve">dadansoddir </w:t>
      </w:r>
      <w:r w:rsidR="005151E7">
        <w:rPr>
          <w:rFonts w:cstheme="minorHAnsi"/>
          <w:lang w:val="cy-GB"/>
        </w:rPr>
        <w:t>data asesiad</w:t>
      </w:r>
      <w:r>
        <w:rPr>
          <w:rFonts w:cstheme="minorHAnsi"/>
          <w:lang w:val="cy-GB"/>
        </w:rPr>
        <w:t xml:space="preserve"> ystadegol sy’n adnabod mater</w:t>
      </w:r>
      <w:r w:rsidR="005151E7">
        <w:rPr>
          <w:rFonts w:cstheme="minorHAnsi"/>
          <w:lang w:val="cy-GB"/>
        </w:rPr>
        <w:t xml:space="preserve"> ailadroddus neu fater </w:t>
      </w:r>
      <w:r>
        <w:rPr>
          <w:rFonts w:cstheme="minorHAnsi"/>
          <w:lang w:val="cy-GB"/>
        </w:rPr>
        <w:t xml:space="preserve">pellach </w:t>
      </w:r>
      <w:r w:rsidR="005151E7">
        <w:rPr>
          <w:rFonts w:cstheme="minorHAnsi"/>
          <w:lang w:val="cy-GB"/>
        </w:rPr>
        <w:t xml:space="preserve">sydd wedi lledaenu’n eang sydd angen ei drin y tu allan i’r maes cwynion ar wahân drwy’r broses craffu dwys. </w:t>
      </w:r>
      <w:r w:rsidR="00406CFB">
        <w:rPr>
          <w:rFonts w:cstheme="minorHAnsi"/>
          <w:lang w:val="cy-GB"/>
        </w:rPr>
        <w:t>Cynhelir asesiad cychwynnol drwy gasglu’r holl fanylion perthnasol, dadansoddi cwynion tebyg, cynnwys y Panel Sicrhau Ansawdd lle y bo’n briodol ac adnabod adrannau/rhan</w:t>
      </w:r>
      <w:r w:rsidR="00C41CAB">
        <w:rPr>
          <w:rFonts w:cstheme="minorHAnsi"/>
          <w:lang w:val="cy-GB"/>
        </w:rPr>
        <w:t>ddeiliaid allweddol yr heddlu. Yna, c</w:t>
      </w:r>
      <w:r w:rsidR="00406CFB">
        <w:rPr>
          <w:rFonts w:cstheme="minorHAnsi"/>
          <w:lang w:val="cy-GB"/>
        </w:rPr>
        <w:t xml:space="preserve">esglir tystiolaeth er mwyn asesu’r darlun cyfredol ac adnabod unrhyw feysydd pryder amlwg. Er enghraifft, </w:t>
      </w:r>
      <w:r w:rsidR="00C41CAB">
        <w:rPr>
          <w:rFonts w:cstheme="minorHAnsi"/>
          <w:lang w:val="cy-GB"/>
        </w:rPr>
        <w:t>gall</w:t>
      </w:r>
      <w:r w:rsidR="00406CFB">
        <w:rPr>
          <w:rFonts w:cstheme="minorHAnsi"/>
          <w:lang w:val="cy-GB"/>
        </w:rPr>
        <w:t xml:space="preserve"> testun gwirioneddol cwyn ailadroddus </w:t>
      </w:r>
      <w:r w:rsidR="00C41CAB">
        <w:rPr>
          <w:rFonts w:cstheme="minorHAnsi"/>
          <w:lang w:val="cy-GB"/>
        </w:rPr>
        <w:t xml:space="preserve">gael ei greu </w:t>
      </w:r>
      <w:r w:rsidR="00406CFB">
        <w:rPr>
          <w:rFonts w:cstheme="minorHAnsi"/>
          <w:lang w:val="cy-GB"/>
        </w:rPr>
        <w:t xml:space="preserve">o ganlyniad i wall mewn polisi ac felly mae ymateb yr heddlu i’r un sefyllfa’n amrywio – mae hyn yn nodi mai achos craidd y </w:t>
      </w:r>
      <w:r w:rsidR="00C41CAB">
        <w:rPr>
          <w:rFonts w:cstheme="minorHAnsi"/>
          <w:lang w:val="cy-GB"/>
        </w:rPr>
        <w:t>mater</w:t>
      </w:r>
      <w:r w:rsidR="00406CFB">
        <w:rPr>
          <w:rFonts w:cstheme="minorHAnsi"/>
          <w:lang w:val="cy-GB"/>
        </w:rPr>
        <w:t xml:space="preserve"> yw’r polisi. </w:t>
      </w:r>
      <w:r w:rsidR="00F157CA">
        <w:rPr>
          <w:rFonts w:cstheme="minorHAnsi"/>
          <w:lang w:val="cy-GB"/>
        </w:rPr>
        <w:t xml:space="preserve">Diben y broses craffu dwys fydd adnabod achos craidd y </w:t>
      </w:r>
      <w:r w:rsidR="00C41CAB">
        <w:rPr>
          <w:rFonts w:cstheme="minorHAnsi"/>
          <w:lang w:val="cy-GB"/>
        </w:rPr>
        <w:t>mater</w:t>
      </w:r>
      <w:r w:rsidR="00F157CA">
        <w:rPr>
          <w:rFonts w:cstheme="minorHAnsi"/>
          <w:lang w:val="cy-GB"/>
        </w:rPr>
        <w:t xml:space="preserve"> ac ystyried </w:t>
      </w:r>
      <w:r w:rsidR="00C41CAB">
        <w:rPr>
          <w:rFonts w:cstheme="minorHAnsi"/>
          <w:lang w:val="cy-GB"/>
        </w:rPr>
        <w:t>pa b</w:t>
      </w:r>
      <w:r w:rsidR="00F157CA">
        <w:rPr>
          <w:rFonts w:cstheme="minorHAnsi"/>
          <w:lang w:val="cy-GB"/>
        </w:rPr>
        <w:t xml:space="preserve">rosesau/hyfforddiant/cyflenwi y gellir newid er mwyn dileu’r broblem, a fydd, yn ei dro, yn arwain at lai o gwynion mewn perthynas â’r mater penodol hwnnw. </w:t>
      </w:r>
    </w:p>
    <w:p w:rsidR="00856CA2" w:rsidRPr="004C7D66" w:rsidRDefault="00F157CA" w:rsidP="00856CA2">
      <w:pPr>
        <w:pStyle w:val="ListParagraph"/>
        <w:numPr>
          <w:ilvl w:val="0"/>
          <w:numId w:val="16"/>
        </w:numPr>
        <w:rPr>
          <w:rFonts w:cstheme="minorHAnsi"/>
          <w:color w:val="0070C0"/>
          <w:sz w:val="40"/>
          <w:szCs w:val="40"/>
          <w:lang w:val="cy-GB"/>
        </w:rPr>
      </w:pPr>
      <w:r>
        <w:rPr>
          <w:rFonts w:cstheme="minorHAnsi"/>
          <w:color w:val="0070C0"/>
          <w:sz w:val="40"/>
          <w:szCs w:val="40"/>
          <w:lang w:val="cy-GB"/>
        </w:rPr>
        <w:t>Y Panel Sicrhau Ansawdd</w:t>
      </w:r>
    </w:p>
    <w:p w:rsidR="00856CA2" w:rsidRPr="004C7D66" w:rsidRDefault="00F157CA" w:rsidP="00856CA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Pwy</w:t>
      </w:r>
    </w:p>
    <w:p w:rsidR="00856CA2" w:rsidRPr="004C7D66" w:rsidRDefault="00F157CA" w:rsidP="00856CA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 Panel Sicrhau Ansawdd</w:t>
      </w:r>
    </w:p>
    <w:p w:rsidR="00856CA2" w:rsidRPr="004C7D66" w:rsidRDefault="00F157CA" w:rsidP="00856CA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Beth</w:t>
      </w:r>
    </w:p>
    <w:p w:rsidR="00856CA2" w:rsidRPr="004C7D66" w:rsidRDefault="00792055" w:rsidP="00856CA2">
      <w:pPr>
        <w:rPr>
          <w:rFonts w:cstheme="minorHAnsi"/>
          <w:lang w:val="cy-GB"/>
        </w:rPr>
      </w:pPr>
      <w:r>
        <w:rPr>
          <w:rFonts w:ascii="Calibri" w:hAnsi="Calibri" w:cs="Calibri"/>
          <w:lang w:val="cy-GB"/>
        </w:rPr>
        <w:t>Ystyried a thrafod cwynion sydd wedi’u datrys sydd wedi dod i sylw’r Gweithiwr Achos Ansawdd Gwasanaeth am fod â materion penodol neu sy’n bodloni m</w:t>
      </w:r>
      <w:r w:rsidR="00E728B9">
        <w:rPr>
          <w:rFonts w:ascii="Calibri" w:hAnsi="Calibri" w:cs="Calibri"/>
          <w:lang w:val="cy-GB"/>
        </w:rPr>
        <w:t>eini</w:t>
      </w:r>
      <w:r>
        <w:rPr>
          <w:rFonts w:ascii="Calibri" w:hAnsi="Calibri" w:cs="Calibri"/>
          <w:lang w:val="cy-GB"/>
        </w:rPr>
        <w:t xml:space="preserve"> prawf thema benodol a bennir gan waith dadansoddi tueddiadau. Bydd y cwynion yn cael eu dadansoddi am y ffordd y mae’r Adran Safonau P</w:t>
      </w:r>
      <w:r w:rsidR="00AD3288">
        <w:rPr>
          <w:rFonts w:ascii="Calibri" w:hAnsi="Calibri" w:cs="Calibri"/>
          <w:lang w:val="cy-GB"/>
        </w:rPr>
        <w:t xml:space="preserve">roffesiynol wedi ymdrin  â nhw a </w:t>
      </w:r>
      <w:r>
        <w:rPr>
          <w:rFonts w:ascii="Calibri" w:hAnsi="Calibri" w:cs="Calibri"/>
          <w:lang w:val="cy-GB"/>
        </w:rPr>
        <w:t>p</w:t>
      </w:r>
      <w:r w:rsidR="00AD3288">
        <w:rPr>
          <w:rFonts w:ascii="Calibri" w:hAnsi="Calibri" w:cs="Calibri"/>
          <w:lang w:val="cy-GB"/>
        </w:rPr>
        <w:t>h</w:t>
      </w:r>
      <w:r>
        <w:rPr>
          <w:rFonts w:ascii="Calibri" w:hAnsi="Calibri" w:cs="Calibri"/>
          <w:lang w:val="cy-GB"/>
        </w:rPr>
        <w:t>a un ai</w:t>
      </w:r>
      <w:r w:rsidR="00AD3288">
        <w:rPr>
          <w:rFonts w:ascii="Calibri" w:hAnsi="Calibri" w:cs="Calibri"/>
          <w:lang w:val="cy-GB"/>
        </w:rPr>
        <w:t xml:space="preserve"> a yw’n ymagwedd deg a rhesymol</w:t>
      </w:r>
      <w:r>
        <w:rPr>
          <w:rFonts w:ascii="Calibri" w:hAnsi="Calibri" w:cs="Calibri"/>
          <w:lang w:val="cy-GB"/>
        </w:rPr>
        <w:t xml:space="preserve"> a’r argraff a wnaed ar bobl sydd ddim yn rhan o’r heddlu, mewn perthynas â’r gwasanaeth a ddarparwyd.</w:t>
      </w:r>
    </w:p>
    <w:p w:rsidR="00856CA2" w:rsidRPr="004C7D66" w:rsidRDefault="00814598" w:rsidP="00856CA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Ble</w:t>
      </w:r>
    </w:p>
    <w:p w:rsidR="00856CA2" w:rsidRPr="004C7D66" w:rsidRDefault="00814598" w:rsidP="00856CA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Cyfarfod y Panel Sicrhau Ansawdd – Pencadlys yr Heddlu </w:t>
      </w:r>
    </w:p>
    <w:p w:rsidR="00856CA2" w:rsidRPr="004C7D66" w:rsidRDefault="00814598" w:rsidP="00856CA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Pam</w:t>
      </w:r>
    </w:p>
    <w:p w:rsidR="00856CA2" w:rsidRPr="004C7D66" w:rsidRDefault="00814598" w:rsidP="00856CA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Diben y Panel Sicrhau Ansawdd yw mesur perfformiad ar lefel mwy strategol gyda lefel o oruchwyliaeth annibynnol. </w:t>
      </w:r>
    </w:p>
    <w:p w:rsidR="00856CA2" w:rsidRPr="004C7D66" w:rsidRDefault="00814598" w:rsidP="00856CA2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Pryd</w:t>
      </w:r>
    </w:p>
    <w:p w:rsidR="00856CA2" w:rsidRPr="004C7D66" w:rsidRDefault="00AD3288" w:rsidP="00856CA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P</w:t>
      </w:r>
      <w:r w:rsidR="00814598">
        <w:rPr>
          <w:rFonts w:cstheme="minorHAnsi"/>
          <w:lang w:val="cy-GB"/>
        </w:rPr>
        <w:t>ob 6 mis</w:t>
      </w:r>
    </w:p>
    <w:p w:rsidR="00856CA2" w:rsidRPr="004C7D66" w:rsidRDefault="00814598" w:rsidP="00982B97">
      <w:pPr>
        <w:pStyle w:val="NoSpacing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Sut</w:t>
      </w:r>
    </w:p>
    <w:p w:rsidR="00982B97" w:rsidRPr="004C7D66" w:rsidRDefault="00982B97" w:rsidP="00982B97">
      <w:pPr>
        <w:pStyle w:val="NoSpacing"/>
        <w:rPr>
          <w:rFonts w:cstheme="minorHAnsi"/>
          <w:lang w:val="cy-GB"/>
        </w:rPr>
      </w:pPr>
    </w:p>
    <w:p w:rsidR="00856CA2" w:rsidRPr="004C7D66" w:rsidRDefault="00814598" w:rsidP="00982B97">
      <w:pPr>
        <w:pStyle w:val="NoSpacing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Bydd mater thematig i’w adolygu neu achosion nodedig yn cael eu dwyn i sylw’r grŵp. </w:t>
      </w:r>
      <w:r w:rsidR="00856CA2" w:rsidRPr="004C7D66">
        <w:rPr>
          <w:rFonts w:cstheme="minorHAnsi"/>
          <w:lang w:val="cy-GB"/>
        </w:rPr>
        <w:br/>
      </w:r>
      <w:r w:rsidR="00856CA2" w:rsidRPr="004C7D66">
        <w:rPr>
          <w:rFonts w:cstheme="minorHAnsi"/>
          <w:lang w:val="cy-GB"/>
        </w:rPr>
        <w:br/>
      </w:r>
      <w:r w:rsidR="00A43943">
        <w:rPr>
          <w:rFonts w:cstheme="minorHAnsi"/>
          <w:lang w:val="cy-GB"/>
        </w:rPr>
        <w:t xml:space="preserve">Gwneir cais i’r Adran Safonau Proffesiynol am bob cyfeirnod cwyn sy’n ymwneud ag achosion sydd wedi cau yn ôl y maen/meini prawf a nodwyd yn ystod cyfnod penodol, ac o’r data hwnnw, dewisir sampl o gyfeirnodau achos ar hap. Unwaith y bydd y cyfeirnodau wedi’u dewis, gofynnir i’r Adran Safonau Proffesiynol am yr achosion electronig cyfatebol er mwyn i’r grŵp edrych arnynt. Gall hyn arwain at drafodaeth bellach.  </w:t>
      </w:r>
      <w:r w:rsidR="00856CA2" w:rsidRPr="004C7D66">
        <w:rPr>
          <w:rFonts w:cstheme="minorHAnsi"/>
          <w:lang w:val="cy-GB"/>
        </w:rPr>
        <w:br/>
      </w:r>
      <w:r w:rsidR="00856CA2" w:rsidRPr="004C7D66">
        <w:rPr>
          <w:rFonts w:cstheme="minorHAnsi"/>
          <w:lang w:val="cy-GB"/>
        </w:rPr>
        <w:br/>
      </w:r>
      <w:r w:rsidR="00A43943">
        <w:rPr>
          <w:rFonts w:cstheme="minorHAnsi"/>
          <w:lang w:val="cy-GB"/>
        </w:rPr>
        <w:t>Bydd canlyniadau’r trafodaethau hefyd yn cael eu cofnodi, ac adroddir yn ôl i’r Adran Safonau Proffesiynol am unrhyw awgrymiadau/sylwad</w:t>
      </w:r>
      <w:r w:rsidR="005C7596">
        <w:rPr>
          <w:rFonts w:cstheme="minorHAnsi"/>
          <w:lang w:val="cy-GB"/>
        </w:rPr>
        <w:t>au. Yn ogystal, fe’u cofnodir yn</w:t>
      </w:r>
      <w:r w:rsidR="00A43943">
        <w:rPr>
          <w:rFonts w:cstheme="minorHAnsi"/>
          <w:lang w:val="cy-GB"/>
        </w:rPr>
        <w:t xml:space="preserve"> yr adroddiad Dangosydd Perfformiad Allweddol</w:t>
      </w:r>
      <w:r w:rsidR="005B6869" w:rsidRPr="005B6869">
        <w:t xml:space="preserve"> </w:t>
      </w:r>
      <w:r w:rsidR="005B6869" w:rsidRPr="005B6869">
        <w:rPr>
          <w:rFonts w:cstheme="minorHAnsi"/>
          <w:lang w:val="cy-GB"/>
        </w:rPr>
        <w:t>Cwynion</w:t>
      </w:r>
      <w:r w:rsidR="00A43943">
        <w:rPr>
          <w:rFonts w:cstheme="minorHAnsi"/>
          <w:lang w:val="cy-GB"/>
        </w:rPr>
        <w:t xml:space="preserve">. </w:t>
      </w:r>
    </w:p>
    <w:p w:rsidR="00982B97" w:rsidRPr="004C7D66" w:rsidRDefault="00982B97" w:rsidP="00982B97">
      <w:pPr>
        <w:pStyle w:val="NoSpacing"/>
        <w:rPr>
          <w:rFonts w:cstheme="minorHAnsi"/>
          <w:lang w:val="cy-GB"/>
        </w:rPr>
      </w:pPr>
    </w:p>
    <w:bookmarkEnd w:id="3"/>
    <w:bookmarkEnd w:id="2"/>
    <w:p w:rsidR="00DF32DA" w:rsidRPr="004C7D66" w:rsidRDefault="00A43943" w:rsidP="00DF32DA">
      <w:pPr>
        <w:pStyle w:val="ListParagraph"/>
        <w:numPr>
          <w:ilvl w:val="0"/>
          <w:numId w:val="16"/>
        </w:numPr>
        <w:rPr>
          <w:rFonts w:cstheme="minorHAnsi"/>
          <w:color w:val="0070C0"/>
          <w:sz w:val="40"/>
          <w:szCs w:val="40"/>
          <w:lang w:val="cy-GB"/>
        </w:rPr>
      </w:pPr>
      <w:r>
        <w:rPr>
          <w:rFonts w:cstheme="minorHAnsi"/>
          <w:color w:val="0070C0"/>
          <w:sz w:val="40"/>
          <w:szCs w:val="40"/>
          <w:lang w:val="cy-GB"/>
        </w:rPr>
        <w:t>Strwythurau Cyfarfodydd</w:t>
      </w:r>
    </w:p>
    <w:p w:rsidR="00F36E07" w:rsidRPr="004C7D66" w:rsidRDefault="000A1A4E" w:rsidP="00DF32DA">
      <w:pPr>
        <w:rPr>
          <w:rFonts w:ascii="Verdana" w:hAnsi="Verdana" w:cs="Arial"/>
          <w:lang w:val="cy-GB"/>
        </w:rPr>
      </w:pPr>
      <w:r>
        <w:rPr>
          <w:rFonts w:cstheme="minorHAnsi"/>
          <w:lang w:val="cy-GB"/>
        </w:rPr>
        <w:t>Cynhelir cyfarfod</w:t>
      </w:r>
      <w:r w:rsidR="00325AEA">
        <w:rPr>
          <w:rFonts w:cstheme="minorHAnsi"/>
          <w:lang w:val="cy-GB"/>
        </w:rPr>
        <w:t>ydd</w:t>
      </w:r>
      <w:r>
        <w:rPr>
          <w:rFonts w:cstheme="minorHAnsi"/>
          <w:lang w:val="cy-GB"/>
        </w:rPr>
        <w:t xml:space="preserve"> chwarterol rhwng Uwch Reolwr yr Adran Safonau Proffesiynol a’r Gweithiwr Achos Ansawdd Gwasanaeth. Yn ystod y cyfarfodydd hyn, trafodir datblygiadau mewn perthynas â </w:t>
      </w:r>
      <w:r w:rsidR="00325AEA">
        <w:rPr>
          <w:rFonts w:cstheme="minorHAnsi"/>
          <w:lang w:val="cy-GB"/>
        </w:rPr>
        <w:t>materion cwyn</w:t>
      </w:r>
      <w:r>
        <w:rPr>
          <w:rFonts w:cstheme="minorHAnsi"/>
          <w:lang w:val="cy-GB"/>
        </w:rPr>
        <w:t xml:space="preserve">. Bydd y cyfarfod yn cynnwys trafodaeth o gwynion </w:t>
      </w:r>
      <w:r w:rsidR="00325AEA">
        <w:rPr>
          <w:rFonts w:cstheme="minorHAnsi"/>
          <w:lang w:val="cy-GB"/>
        </w:rPr>
        <w:t>sydd wedi</w:t>
      </w:r>
      <w:r>
        <w:rPr>
          <w:rFonts w:cstheme="minorHAnsi"/>
          <w:lang w:val="cy-GB"/>
        </w:rPr>
        <w:t xml:space="preserve"> eu cynnal ar apêl gan yr </w:t>
      </w:r>
      <w:r w:rsidR="00496BBF" w:rsidRPr="004C7D66">
        <w:rPr>
          <w:rFonts w:cstheme="minorHAnsi"/>
          <w:lang w:val="cy-GB"/>
        </w:rPr>
        <w:t>IOPC a</w:t>
      </w:r>
      <w:r>
        <w:rPr>
          <w:rFonts w:cstheme="minorHAnsi"/>
          <w:lang w:val="cy-GB"/>
        </w:rPr>
        <w:t>c ail-ymwelir â’r achosion hynny er mwyn sicrhau bod Heddlu Dyfed-Powys wedi cydymffurfio â’r argymhellion a wnaed. Wrth edrych tua’r dyfodol, bydd y Gweithiwr Achos Ansawdd Gwasanaeth hefyd yn diweddaru Uwch Reolwr yr Adran Safonau Proffesiynol mewn perthynas ag apeliadau cwynion sydd wedi’u trin gan SCHTh.</w:t>
      </w:r>
      <w:r w:rsidRPr="004C7D66">
        <w:rPr>
          <w:rFonts w:cstheme="minorHAnsi"/>
          <w:lang w:val="cy-GB"/>
        </w:rPr>
        <w:t xml:space="preserve"> </w:t>
      </w:r>
      <w:r w:rsidR="00F36E07" w:rsidRPr="004C7D66">
        <w:rPr>
          <w:rFonts w:cstheme="minorHAnsi"/>
          <w:lang w:val="cy-GB"/>
        </w:rPr>
        <w:br/>
      </w:r>
      <w:r w:rsidR="00F36E07" w:rsidRPr="004C7D66">
        <w:rPr>
          <w:rFonts w:cstheme="minorHAnsi"/>
          <w:lang w:val="cy-GB"/>
        </w:rPr>
        <w:br/>
      </w:r>
      <w:r w:rsidR="007F51E4">
        <w:rPr>
          <w:rFonts w:cstheme="minorHAnsi"/>
          <w:lang w:val="cy-GB"/>
        </w:rPr>
        <w:t xml:space="preserve">Yn ogystal, cynhelir cyfarfod chwe misol dan arweiniad yr </w:t>
      </w:r>
      <w:r w:rsidR="00DF1EEB" w:rsidRPr="004C7D66">
        <w:rPr>
          <w:rFonts w:cstheme="minorHAnsi"/>
          <w:lang w:val="cy-GB"/>
        </w:rPr>
        <w:t xml:space="preserve">IOPC, </w:t>
      </w:r>
      <w:r w:rsidR="00007EA1">
        <w:rPr>
          <w:rFonts w:cstheme="minorHAnsi"/>
          <w:lang w:val="cy-GB"/>
        </w:rPr>
        <w:t>sy’n c</w:t>
      </w:r>
      <w:r w:rsidR="00340864">
        <w:rPr>
          <w:rFonts w:cstheme="minorHAnsi"/>
          <w:lang w:val="cy-GB"/>
        </w:rPr>
        <w:t>ynnwys cynrychiolwyr o Dîm Uwch Reol</w:t>
      </w:r>
      <w:r w:rsidR="00007EA1">
        <w:rPr>
          <w:rFonts w:cstheme="minorHAnsi"/>
          <w:lang w:val="cy-GB"/>
        </w:rPr>
        <w:t>i’</w:t>
      </w:r>
      <w:r w:rsidR="00340864">
        <w:rPr>
          <w:rFonts w:cstheme="minorHAnsi"/>
          <w:lang w:val="cy-GB"/>
        </w:rPr>
        <w:t>r Adran Safonau Proffesiynol a’r Gweithiwr Achos Ansawdd Gwasanaeth</w:t>
      </w:r>
      <w:r w:rsidR="00007EA1">
        <w:rPr>
          <w:rFonts w:cstheme="minorHAnsi"/>
          <w:lang w:val="cy-GB"/>
        </w:rPr>
        <w:t>,</w:t>
      </w:r>
      <w:r w:rsidR="00340864">
        <w:rPr>
          <w:rFonts w:cstheme="minorHAnsi"/>
          <w:lang w:val="cy-GB"/>
        </w:rPr>
        <w:t xml:space="preserve"> er mwyn trafod perfformiad Adran Safonau Proffesiynol Heddlu Dyfed-Powys. Nodir unrhyw achosion nodedig neu achosion y mae’r cyfryngau’n debygol o adrodd arnynt gan y Gweithiwr Achos Ansawdd Gwasanaeth, a fydd yn adrodd i’r Pennaeth Staff a’r Comisiynydd. </w:t>
      </w:r>
      <w:r w:rsidR="00DF1EEB" w:rsidRPr="004C7D66">
        <w:rPr>
          <w:rFonts w:cstheme="minorHAnsi"/>
          <w:lang w:val="cy-GB"/>
        </w:rPr>
        <w:t xml:space="preserve"> </w:t>
      </w:r>
      <w:r w:rsidR="000A49C8" w:rsidRPr="004C7D66">
        <w:rPr>
          <w:rFonts w:cstheme="minorHAnsi"/>
          <w:lang w:val="cy-GB"/>
        </w:rPr>
        <w:br/>
      </w:r>
      <w:r w:rsidR="00D754DA" w:rsidRPr="004C7D66">
        <w:rPr>
          <w:rFonts w:cstheme="minorHAnsi"/>
          <w:lang w:val="cy-GB"/>
        </w:rPr>
        <w:t xml:space="preserve"> </w:t>
      </w:r>
      <w:r w:rsidR="000A49C8" w:rsidRPr="004C7D66">
        <w:rPr>
          <w:rFonts w:cstheme="minorHAnsi"/>
          <w:lang w:val="cy-GB"/>
        </w:rPr>
        <w:br/>
      </w:r>
      <w:r w:rsidR="0043587A">
        <w:rPr>
          <w:rFonts w:cstheme="minorHAnsi"/>
          <w:lang w:val="cy-GB"/>
        </w:rPr>
        <w:t>Cynhelir cyfarfodydd chwarterol rhwng Rhwydwaith Gwaith Achos a Chwynion Cymdeithas Prif Weithredwyr Plismona a Throseddu, a fynychir gan y Gweithiwr Achos Ansawdd Gwasanaeth, er mwyn trafod gweithdrefnau a pholisïau lleol a chened</w:t>
      </w:r>
      <w:r w:rsidR="00AA186E">
        <w:rPr>
          <w:rFonts w:cstheme="minorHAnsi"/>
          <w:lang w:val="cy-GB"/>
        </w:rPr>
        <w:t>laethol sy’n ymwneud â chwynion a’r ffordd maen nhw’n cael eu</w:t>
      </w:r>
      <w:r w:rsidR="0043587A">
        <w:rPr>
          <w:rFonts w:cstheme="minorHAnsi"/>
          <w:lang w:val="cy-GB"/>
        </w:rPr>
        <w:t xml:space="preserve"> gweithredu ar draws Swyddfeydd </w:t>
      </w:r>
      <w:r w:rsidR="00AA186E">
        <w:rPr>
          <w:rFonts w:cstheme="minorHAnsi"/>
          <w:lang w:val="cy-GB"/>
        </w:rPr>
        <w:t>pob Comisiynydd</w:t>
      </w:r>
      <w:r w:rsidR="00306D5F" w:rsidRPr="004C7D66">
        <w:rPr>
          <w:rFonts w:cstheme="minorHAnsi"/>
          <w:lang w:val="cy-GB"/>
        </w:rPr>
        <w:t>.</w:t>
      </w:r>
      <w:r w:rsidR="00F36E07" w:rsidRPr="004C7D66">
        <w:rPr>
          <w:rFonts w:cstheme="minorHAnsi"/>
          <w:lang w:val="cy-GB"/>
        </w:rPr>
        <w:br/>
      </w:r>
      <w:r w:rsidR="00F36E07" w:rsidRPr="004C7D66">
        <w:rPr>
          <w:rFonts w:cstheme="minorHAnsi"/>
          <w:lang w:val="cy-GB"/>
        </w:rPr>
        <w:br/>
      </w:r>
      <w:r w:rsidR="0043587A">
        <w:rPr>
          <w:rFonts w:cstheme="minorHAnsi"/>
          <w:lang w:val="cy-GB"/>
        </w:rPr>
        <w:t xml:space="preserve">Cynhelir cyfarfod chwe misol rhwng Cyfarwyddwr yr IOPC dros Gymru, Comisiynydd yr Heddlu a Throseddu, a’r Gweithiwr Achos Ansawdd Gwasanaeth er mwyn trafod materion thematig sydd wedi codi ac sydd angen sylw, boed yn faterion lleol neu’n faterion cenedlaethol. </w:t>
      </w:r>
      <w:r w:rsidR="00F36E07" w:rsidRPr="004C7D66">
        <w:rPr>
          <w:rFonts w:ascii="Verdana" w:hAnsi="Verdana" w:cs="Arial"/>
          <w:lang w:val="cy-GB"/>
        </w:rPr>
        <w:br/>
      </w:r>
      <w:bookmarkStart w:id="4" w:name="cysill"/>
      <w:bookmarkEnd w:id="4"/>
    </w:p>
    <w:sectPr w:rsidR="00F36E07" w:rsidRPr="004C7D66" w:rsidSect="009D1A66">
      <w:footerReference w:type="default" r:id="rId13"/>
      <w:type w:val="continuous"/>
      <w:pgSz w:w="11906" w:h="16838"/>
      <w:pgMar w:top="1702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1E" w:rsidRDefault="00040C1E" w:rsidP="00FD775B">
      <w:pPr>
        <w:spacing w:after="0" w:line="240" w:lineRule="auto"/>
      </w:pPr>
      <w:r>
        <w:separator/>
      </w:r>
    </w:p>
  </w:endnote>
  <w:endnote w:type="continuationSeparator" w:id="0">
    <w:p w:rsidR="00040C1E" w:rsidRDefault="00040C1E" w:rsidP="00FD775B">
      <w:pPr>
        <w:spacing w:after="0" w:line="240" w:lineRule="auto"/>
      </w:pPr>
      <w:r>
        <w:continuationSeparator/>
      </w:r>
    </w:p>
  </w:endnote>
  <w:endnote w:type="continuationNotice" w:id="1">
    <w:p w:rsidR="00040C1E" w:rsidRDefault="00040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792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C1E" w:rsidRDefault="00040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C1E" w:rsidRDefault="0004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1E" w:rsidRDefault="00040C1E" w:rsidP="00FD775B">
      <w:pPr>
        <w:spacing w:after="0" w:line="240" w:lineRule="auto"/>
      </w:pPr>
      <w:r>
        <w:separator/>
      </w:r>
    </w:p>
  </w:footnote>
  <w:footnote w:type="continuationSeparator" w:id="0">
    <w:p w:rsidR="00040C1E" w:rsidRDefault="00040C1E" w:rsidP="00FD775B">
      <w:pPr>
        <w:spacing w:after="0" w:line="240" w:lineRule="auto"/>
      </w:pPr>
      <w:r>
        <w:continuationSeparator/>
      </w:r>
    </w:p>
  </w:footnote>
  <w:footnote w:type="continuationNotice" w:id="1">
    <w:p w:rsidR="00040C1E" w:rsidRDefault="00040C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89"/>
    <w:multiLevelType w:val="multilevel"/>
    <w:tmpl w:val="60FC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C2898"/>
    <w:multiLevelType w:val="hybridMultilevel"/>
    <w:tmpl w:val="28B29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536"/>
    <w:multiLevelType w:val="hybridMultilevel"/>
    <w:tmpl w:val="F0B4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775"/>
    <w:multiLevelType w:val="hybridMultilevel"/>
    <w:tmpl w:val="3B84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7743"/>
    <w:multiLevelType w:val="hybridMultilevel"/>
    <w:tmpl w:val="3752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882"/>
    <w:multiLevelType w:val="hybridMultilevel"/>
    <w:tmpl w:val="145C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7601"/>
    <w:multiLevelType w:val="hybridMultilevel"/>
    <w:tmpl w:val="8AF2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B4C"/>
    <w:multiLevelType w:val="hybridMultilevel"/>
    <w:tmpl w:val="6B08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12E"/>
    <w:multiLevelType w:val="hybridMultilevel"/>
    <w:tmpl w:val="3E74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8CE"/>
    <w:multiLevelType w:val="hybridMultilevel"/>
    <w:tmpl w:val="9948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143C"/>
    <w:multiLevelType w:val="multilevel"/>
    <w:tmpl w:val="D5DA9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EDA3420"/>
    <w:multiLevelType w:val="hybridMultilevel"/>
    <w:tmpl w:val="E2D6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3EFF"/>
    <w:multiLevelType w:val="hybridMultilevel"/>
    <w:tmpl w:val="CB4CCA2A"/>
    <w:lvl w:ilvl="0" w:tplc="3F5ADC7A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F69F7"/>
    <w:multiLevelType w:val="multilevel"/>
    <w:tmpl w:val="133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F1C09"/>
    <w:multiLevelType w:val="hybridMultilevel"/>
    <w:tmpl w:val="4CE8DD3C"/>
    <w:lvl w:ilvl="0" w:tplc="00FE4D44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4C0B"/>
    <w:multiLevelType w:val="hybridMultilevel"/>
    <w:tmpl w:val="E77C34EA"/>
    <w:lvl w:ilvl="0" w:tplc="5CE665D6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 w:val="0"/>
        <w:color w:val="0070C0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B735E"/>
    <w:multiLevelType w:val="hybridMultilevel"/>
    <w:tmpl w:val="367A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4159"/>
    <w:multiLevelType w:val="hybridMultilevel"/>
    <w:tmpl w:val="689C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A48E7"/>
    <w:multiLevelType w:val="hybridMultilevel"/>
    <w:tmpl w:val="F786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3156"/>
    <w:multiLevelType w:val="hybridMultilevel"/>
    <w:tmpl w:val="E946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8"/>
  </w:num>
  <w:num w:numId="5">
    <w:abstractNumId w:val="18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7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1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3"/>
    <w:rsid w:val="00000038"/>
    <w:rsid w:val="00002B6C"/>
    <w:rsid w:val="00003BFB"/>
    <w:rsid w:val="00005752"/>
    <w:rsid w:val="00006FBA"/>
    <w:rsid w:val="00007EA1"/>
    <w:rsid w:val="00010580"/>
    <w:rsid w:val="0001367C"/>
    <w:rsid w:val="00020133"/>
    <w:rsid w:val="0002032A"/>
    <w:rsid w:val="0002157D"/>
    <w:rsid w:val="00021956"/>
    <w:rsid w:val="000219F1"/>
    <w:rsid w:val="0002402F"/>
    <w:rsid w:val="000246C4"/>
    <w:rsid w:val="00034DC6"/>
    <w:rsid w:val="00036286"/>
    <w:rsid w:val="000409C2"/>
    <w:rsid w:val="00040C1E"/>
    <w:rsid w:val="000478FE"/>
    <w:rsid w:val="00060BF6"/>
    <w:rsid w:val="00063765"/>
    <w:rsid w:val="0007646C"/>
    <w:rsid w:val="00076C72"/>
    <w:rsid w:val="00077713"/>
    <w:rsid w:val="00077FA6"/>
    <w:rsid w:val="00084351"/>
    <w:rsid w:val="000851A0"/>
    <w:rsid w:val="000872EE"/>
    <w:rsid w:val="00087B66"/>
    <w:rsid w:val="000931F0"/>
    <w:rsid w:val="00094D1D"/>
    <w:rsid w:val="0009728A"/>
    <w:rsid w:val="0009754E"/>
    <w:rsid w:val="000A1A4E"/>
    <w:rsid w:val="000A49C8"/>
    <w:rsid w:val="000A5762"/>
    <w:rsid w:val="000A7D57"/>
    <w:rsid w:val="000B290E"/>
    <w:rsid w:val="000B4A38"/>
    <w:rsid w:val="000B7BC8"/>
    <w:rsid w:val="000D0637"/>
    <w:rsid w:val="000D2069"/>
    <w:rsid w:val="000D268D"/>
    <w:rsid w:val="000D3E37"/>
    <w:rsid w:val="000D6173"/>
    <w:rsid w:val="000E7B0A"/>
    <w:rsid w:val="000F2DBC"/>
    <w:rsid w:val="000F3CEE"/>
    <w:rsid w:val="000F4D4D"/>
    <w:rsid w:val="001023CB"/>
    <w:rsid w:val="001025CD"/>
    <w:rsid w:val="0010545A"/>
    <w:rsid w:val="001061CA"/>
    <w:rsid w:val="00106389"/>
    <w:rsid w:val="00106B01"/>
    <w:rsid w:val="00107E88"/>
    <w:rsid w:val="00111337"/>
    <w:rsid w:val="00112E2C"/>
    <w:rsid w:val="001135F1"/>
    <w:rsid w:val="00113E7D"/>
    <w:rsid w:val="00116285"/>
    <w:rsid w:val="001170B4"/>
    <w:rsid w:val="001213F7"/>
    <w:rsid w:val="001222C1"/>
    <w:rsid w:val="00124445"/>
    <w:rsid w:val="00124EF2"/>
    <w:rsid w:val="00125653"/>
    <w:rsid w:val="00132B8F"/>
    <w:rsid w:val="00141542"/>
    <w:rsid w:val="0014266B"/>
    <w:rsid w:val="001428A9"/>
    <w:rsid w:val="0014317F"/>
    <w:rsid w:val="0014349F"/>
    <w:rsid w:val="00147EB6"/>
    <w:rsid w:val="00151702"/>
    <w:rsid w:val="0015510B"/>
    <w:rsid w:val="001572AF"/>
    <w:rsid w:val="001679F8"/>
    <w:rsid w:val="0017632D"/>
    <w:rsid w:val="00177DAF"/>
    <w:rsid w:val="00181031"/>
    <w:rsid w:val="00181755"/>
    <w:rsid w:val="001835BB"/>
    <w:rsid w:val="00184BD9"/>
    <w:rsid w:val="00185013"/>
    <w:rsid w:val="00186B48"/>
    <w:rsid w:val="001874D7"/>
    <w:rsid w:val="00197E25"/>
    <w:rsid w:val="001A1169"/>
    <w:rsid w:val="001A3847"/>
    <w:rsid w:val="001B352D"/>
    <w:rsid w:val="001B52DC"/>
    <w:rsid w:val="001C1EEB"/>
    <w:rsid w:val="001C2445"/>
    <w:rsid w:val="001C43BF"/>
    <w:rsid w:val="001C5E40"/>
    <w:rsid w:val="001C68B6"/>
    <w:rsid w:val="001D0A8B"/>
    <w:rsid w:val="001D2139"/>
    <w:rsid w:val="001D45A0"/>
    <w:rsid w:val="001E0B4C"/>
    <w:rsid w:val="001E0DEE"/>
    <w:rsid w:val="001E4D9F"/>
    <w:rsid w:val="001E60D2"/>
    <w:rsid w:val="001E6FF8"/>
    <w:rsid w:val="001F0BA0"/>
    <w:rsid w:val="001F1BA7"/>
    <w:rsid w:val="001F7FF5"/>
    <w:rsid w:val="002000C0"/>
    <w:rsid w:val="0020455D"/>
    <w:rsid w:val="00205720"/>
    <w:rsid w:val="00207EBF"/>
    <w:rsid w:val="00210808"/>
    <w:rsid w:val="00210862"/>
    <w:rsid w:val="00215EEA"/>
    <w:rsid w:val="00232C5C"/>
    <w:rsid w:val="00234A53"/>
    <w:rsid w:val="00236093"/>
    <w:rsid w:val="00240690"/>
    <w:rsid w:val="002412EC"/>
    <w:rsid w:val="00241AFB"/>
    <w:rsid w:val="00242D64"/>
    <w:rsid w:val="00243647"/>
    <w:rsid w:val="00247474"/>
    <w:rsid w:val="0025274B"/>
    <w:rsid w:val="002570AB"/>
    <w:rsid w:val="0026326F"/>
    <w:rsid w:val="00263BF2"/>
    <w:rsid w:val="002642E9"/>
    <w:rsid w:val="0026559E"/>
    <w:rsid w:val="00267AEB"/>
    <w:rsid w:val="00267B82"/>
    <w:rsid w:val="00267EA8"/>
    <w:rsid w:val="00282036"/>
    <w:rsid w:val="00284268"/>
    <w:rsid w:val="00286B8A"/>
    <w:rsid w:val="002910C7"/>
    <w:rsid w:val="002942D6"/>
    <w:rsid w:val="0029686C"/>
    <w:rsid w:val="002976CF"/>
    <w:rsid w:val="002A1363"/>
    <w:rsid w:val="002A1476"/>
    <w:rsid w:val="002A48E2"/>
    <w:rsid w:val="002A6CFC"/>
    <w:rsid w:val="002A6E1B"/>
    <w:rsid w:val="002B2055"/>
    <w:rsid w:val="002B2566"/>
    <w:rsid w:val="002B2B5D"/>
    <w:rsid w:val="002B2C23"/>
    <w:rsid w:val="002B49F6"/>
    <w:rsid w:val="002B614D"/>
    <w:rsid w:val="002B6BB4"/>
    <w:rsid w:val="002C1F11"/>
    <w:rsid w:val="002C2461"/>
    <w:rsid w:val="002C40DA"/>
    <w:rsid w:val="002C5777"/>
    <w:rsid w:val="002C76EF"/>
    <w:rsid w:val="002D129D"/>
    <w:rsid w:val="002D5B07"/>
    <w:rsid w:val="002D5EE5"/>
    <w:rsid w:val="002D6C8A"/>
    <w:rsid w:val="002E2367"/>
    <w:rsid w:val="002E5D0D"/>
    <w:rsid w:val="002E70DE"/>
    <w:rsid w:val="002F5FA8"/>
    <w:rsid w:val="002F75DB"/>
    <w:rsid w:val="00300CFC"/>
    <w:rsid w:val="00302D91"/>
    <w:rsid w:val="003040E2"/>
    <w:rsid w:val="00306D5F"/>
    <w:rsid w:val="00307606"/>
    <w:rsid w:val="00312718"/>
    <w:rsid w:val="003145FA"/>
    <w:rsid w:val="0032008A"/>
    <w:rsid w:val="00322DB7"/>
    <w:rsid w:val="00322DC2"/>
    <w:rsid w:val="00324BE6"/>
    <w:rsid w:val="00325AEA"/>
    <w:rsid w:val="00325C5B"/>
    <w:rsid w:val="0033113E"/>
    <w:rsid w:val="003329DE"/>
    <w:rsid w:val="003336F9"/>
    <w:rsid w:val="00337234"/>
    <w:rsid w:val="00340864"/>
    <w:rsid w:val="003419A4"/>
    <w:rsid w:val="00342108"/>
    <w:rsid w:val="00342AFB"/>
    <w:rsid w:val="00343BA7"/>
    <w:rsid w:val="00362F62"/>
    <w:rsid w:val="00363416"/>
    <w:rsid w:val="003679F0"/>
    <w:rsid w:val="00370824"/>
    <w:rsid w:val="003714CF"/>
    <w:rsid w:val="003719EB"/>
    <w:rsid w:val="00373ED5"/>
    <w:rsid w:val="003762F6"/>
    <w:rsid w:val="00376CB1"/>
    <w:rsid w:val="00381AA4"/>
    <w:rsid w:val="00381AC8"/>
    <w:rsid w:val="00385F0D"/>
    <w:rsid w:val="00392650"/>
    <w:rsid w:val="00393ECF"/>
    <w:rsid w:val="0039538C"/>
    <w:rsid w:val="00396C93"/>
    <w:rsid w:val="003A2221"/>
    <w:rsid w:val="003A354F"/>
    <w:rsid w:val="003A3FE5"/>
    <w:rsid w:val="003A6A5B"/>
    <w:rsid w:val="003B441A"/>
    <w:rsid w:val="003B6A9D"/>
    <w:rsid w:val="003C22EC"/>
    <w:rsid w:val="003C3BB6"/>
    <w:rsid w:val="003D1524"/>
    <w:rsid w:val="003D22BF"/>
    <w:rsid w:val="003D2BA7"/>
    <w:rsid w:val="003D399F"/>
    <w:rsid w:val="003D43C7"/>
    <w:rsid w:val="003E73EE"/>
    <w:rsid w:val="003F170A"/>
    <w:rsid w:val="003F5DE2"/>
    <w:rsid w:val="003F5FDE"/>
    <w:rsid w:val="003F7C4F"/>
    <w:rsid w:val="00406CFB"/>
    <w:rsid w:val="00407AB9"/>
    <w:rsid w:val="00410C07"/>
    <w:rsid w:val="00415E6B"/>
    <w:rsid w:val="00420C5B"/>
    <w:rsid w:val="004219C5"/>
    <w:rsid w:val="004225BC"/>
    <w:rsid w:val="00423B08"/>
    <w:rsid w:val="004243F4"/>
    <w:rsid w:val="00425771"/>
    <w:rsid w:val="00433947"/>
    <w:rsid w:val="00433CB8"/>
    <w:rsid w:val="00433E3D"/>
    <w:rsid w:val="00434C49"/>
    <w:rsid w:val="0043587A"/>
    <w:rsid w:val="00435DA2"/>
    <w:rsid w:val="00440367"/>
    <w:rsid w:val="00443554"/>
    <w:rsid w:val="0044783D"/>
    <w:rsid w:val="0045316E"/>
    <w:rsid w:val="00453F74"/>
    <w:rsid w:val="00457140"/>
    <w:rsid w:val="00462C64"/>
    <w:rsid w:val="00465480"/>
    <w:rsid w:val="0047048E"/>
    <w:rsid w:val="00473647"/>
    <w:rsid w:val="00476B41"/>
    <w:rsid w:val="00477890"/>
    <w:rsid w:val="00477D0D"/>
    <w:rsid w:val="00480CB4"/>
    <w:rsid w:val="00482BF7"/>
    <w:rsid w:val="00492ED0"/>
    <w:rsid w:val="00494A87"/>
    <w:rsid w:val="004959FC"/>
    <w:rsid w:val="00496BBF"/>
    <w:rsid w:val="00497B27"/>
    <w:rsid w:val="004A6007"/>
    <w:rsid w:val="004B00AA"/>
    <w:rsid w:val="004B3BAE"/>
    <w:rsid w:val="004C0149"/>
    <w:rsid w:val="004C1328"/>
    <w:rsid w:val="004C2E7A"/>
    <w:rsid w:val="004C3EC2"/>
    <w:rsid w:val="004C6312"/>
    <w:rsid w:val="004C78AF"/>
    <w:rsid w:val="004C7D66"/>
    <w:rsid w:val="004C7E1A"/>
    <w:rsid w:val="004D1946"/>
    <w:rsid w:val="004D2B68"/>
    <w:rsid w:val="004D30E8"/>
    <w:rsid w:val="004D4E85"/>
    <w:rsid w:val="004D7C9B"/>
    <w:rsid w:val="004E5DD7"/>
    <w:rsid w:val="004E79C0"/>
    <w:rsid w:val="004F2163"/>
    <w:rsid w:val="004F5DFB"/>
    <w:rsid w:val="0050057B"/>
    <w:rsid w:val="00502D4A"/>
    <w:rsid w:val="00504826"/>
    <w:rsid w:val="00504F55"/>
    <w:rsid w:val="00506DE3"/>
    <w:rsid w:val="00510459"/>
    <w:rsid w:val="005116B1"/>
    <w:rsid w:val="00512507"/>
    <w:rsid w:val="00512BD5"/>
    <w:rsid w:val="00513DD1"/>
    <w:rsid w:val="005151E7"/>
    <w:rsid w:val="00515B75"/>
    <w:rsid w:val="00523662"/>
    <w:rsid w:val="00523C40"/>
    <w:rsid w:val="0052438E"/>
    <w:rsid w:val="005272E7"/>
    <w:rsid w:val="00527A0B"/>
    <w:rsid w:val="00531203"/>
    <w:rsid w:val="005327B1"/>
    <w:rsid w:val="00535793"/>
    <w:rsid w:val="00536630"/>
    <w:rsid w:val="00537D46"/>
    <w:rsid w:val="00540B35"/>
    <w:rsid w:val="005415E2"/>
    <w:rsid w:val="00551DE5"/>
    <w:rsid w:val="005531FB"/>
    <w:rsid w:val="00553F95"/>
    <w:rsid w:val="0055732A"/>
    <w:rsid w:val="00557ECA"/>
    <w:rsid w:val="005654EC"/>
    <w:rsid w:val="005766F6"/>
    <w:rsid w:val="00581743"/>
    <w:rsid w:val="0058180E"/>
    <w:rsid w:val="0058783C"/>
    <w:rsid w:val="00590026"/>
    <w:rsid w:val="00592B8B"/>
    <w:rsid w:val="00597322"/>
    <w:rsid w:val="005A291F"/>
    <w:rsid w:val="005A5E9F"/>
    <w:rsid w:val="005A7910"/>
    <w:rsid w:val="005B0889"/>
    <w:rsid w:val="005B232E"/>
    <w:rsid w:val="005B2A3D"/>
    <w:rsid w:val="005B57D3"/>
    <w:rsid w:val="005B5D86"/>
    <w:rsid w:val="005B5DB5"/>
    <w:rsid w:val="005B6869"/>
    <w:rsid w:val="005B6A36"/>
    <w:rsid w:val="005B6C1F"/>
    <w:rsid w:val="005B76C6"/>
    <w:rsid w:val="005C070C"/>
    <w:rsid w:val="005C089D"/>
    <w:rsid w:val="005C08DF"/>
    <w:rsid w:val="005C2899"/>
    <w:rsid w:val="005C4DB3"/>
    <w:rsid w:val="005C7596"/>
    <w:rsid w:val="005D0B68"/>
    <w:rsid w:val="005D116C"/>
    <w:rsid w:val="005D1CD0"/>
    <w:rsid w:val="005D3E48"/>
    <w:rsid w:val="005D60B8"/>
    <w:rsid w:val="005E49CE"/>
    <w:rsid w:val="005E6B71"/>
    <w:rsid w:val="005E6E4B"/>
    <w:rsid w:val="005F1000"/>
    <w:rsid w:val="00600FA3"/>
    <w:rsid w:val="00601EE4"/>
    <w:rsid w:val="00603EF7"/>
    <w:rsid w:val="00605C7A"/>
    <w:rsid w:val="00606885"/>
    <w:rsid w:val="00607464"/>
    <w:rsid w:val="00607629"/>
    <w:rsid w:val="00610CD9"/>
    <w:rsid w:val="00611F90"/>
    <w:rsid w:val="006134FB"/>
    <w:rsid w:val="00613F1D"/>
    <w:rsid w:val="006173B3"/>
    <w:rsid w:val="006214C8"/>
    <w:rsid w:val="00637767"/>
    <w:rsid w:val="00654379"/>
    <w:rsid w:val="00662BC9"/>
    <w:rsid w:val="00665319"/>
    <w:rsid w:val="00665E57"/>
    <w:rsid w:val="00666FF8"/>
    <w:rsid w:val="00673069"/>
    <w:rsid w:val="006738F9"/>
    <w:rsid w:val="006741A3"/>
    <w:rsid w:val="00675856"/>
    <w:rsid w:val="00675EE4"/>
    <w:rsid w:val="006779E2"/>
    <w:rsid w:val="006825BC"/>
    <w:rsid w:val="00682997"/>
    <w:rsid w:val="006832F9"/>
    <w:rsid w:val="00695A0A"/>
    <w:rsid w:val="006968EA"/>
    <w:rsid w:val="00696E15"/>
    <w:rsid w:val="006B05FA"/>
    <w:rsid w:val="006B2EC8"/>
    <w:rsid w:val="006B3FDD"/>
    <w:rsid w:val="006C6588"/>
    <w:rsid w:val="006D4307"/>
    <w:rsid w:val="006D55E1"/>
    <w:rsid w:val="006E1BCD"/>
    <w:rsid w:val="006E271B"/>
    <w:rsid w:val="006E49A7"/>
    <w:rsid w:val="006E5902"/>
    <w:rsid w:val="006E7859"/>
    <w:rsid w:val="006F2850"/>
    <w:rsid w:val="006F3C9C"/>
    <w:rsid w:val="006F5503"/>
    <w:rsid w:val="006F649E"/>
    <w:rsid w:val="006F67F9"/>
    <w:rsid w:val="00702D23"/>
    <w:rsid w:val="007031BA"/>
    <w:rsid w:val="00705383"/>
    <w:rsid w:val="00705B11"/>
    <w:rsid w:val="007069B4"/>
    <w:rsid w:val="00706EA2"/>
    <w:rsid w:val="007156D2"/>
    <w:rsid w:val="00717014"/>
    <w:rsid w:val="007219C8"/>
    <w:rsid w:val="00734734"/>
    <w:rsid w:val="00735B4A"/>
    <w:rsid w:val="00735E28"/>
    <w:rsid w:val="00737FDF"/>
    <w:rsid w:val="0074120F"/>
    <w:rsid w:val="0074572D"/>
    <w:rsid w:val="00746A06"/>
    <w:rsid w:val="007515FF"/>
    <w:rsid w:val="00752103"/>
    <w:rsid w:val="007545F8"/>
    <w:rsid w:val="00756868"/>
    <w:rsid w:val="007572B4"/>
    <w:rsid w:val="00761D58"/>
    <w:rsid w:val="00761DE8"/>
    <w:rsid w:val="007655B9"/>
    <w:rsid w:val="007665E9"/>
    <w:rsid w:val="00767EA1"/>
    <w:rsid w:val="00771DA7"/>
    <w:rsid w:val="00773D4C"/>
    <w:rsid w:val="00776ECF"/>
    <w:rsid w:val="00783393"/>
    <w:rsid w:val="007915AB"/>
    <w:rsid w:val="00792055"/>
    <w:rsid w:val="00796194"/>
    <w:rsid w:val="00796C66"/>
    <w:rsid w:val="007973DB"/>
    <w:rsid w:val="00797F70"/>
    <w:rsid w:val="007A13F0"/>
    <w:rsid w:val="007A1776"/>
    <w:rsid w:val="007A37D3"/>
    <w:rsid w:val="007A6C15"/>
    <w:rsid w:val="007B0153"/>
    <w:rsid w:val="007B016F"/>
    <w:rsid w:val="007B2DEC"/>
    <w:rsid w:val="007B65E9"/>
    <w:rsid w:val="007C64AD"/>
    <w:rsid w:val="007D1D45"/>
    <w:rsid w:val="007D2E05"/>
    <w:rsid w:val="007D573B"/>
    <w:rsid w:val="007D5858"/>
    <w:rsid w:val="007D5FA5"/>
    <w:rsid w:val="007D7D5F"/>
    <w:rsid w:val="007E2BDC"/>
    <w:rsid w:val="007E31F6"/>
    <w:rsid w:val="007E4934"/>
    <w:rsid w:val="007E6C72"/>
    <w:rsid w:val="007F2997"/>
    <w:rsid w:val="007F51E4"/>
    <w:rsid w:val="007F5FF8"/>
    <w:rsid w:val="007F6FD3"/>
    <w:rsid w:val="00800623"/>
    <w:rsid w:val="008016C2"/>
    <w:rsid w:val="00802F10"/>
    <w:rsid w:val="00807B5F"/>
    <w:rsid w:val="00810C23"/>
    <w:rsid w:val="00810CFB"/>
    <w:rsid w:val="00812BDC"/>
    <w:rsid w:val="00812F46"/>
    <w:rsid w:val="00814598"/>
    <w:rsid w:val="00816498"/>
    <w:rsid w:val="008178F1"/>
    <w:rsid w:val="0082141C"/>
    <w:rsid w:val="00821842"/>
    <w:rsid w:val="00822F34"/>
    <w:rsid w:val="00826EE5"/>
    <w:rsid w:val="00833F3C"/>
    <w:rsid w:val="00834AC1"/>
    <w:rsid w:val="00837529"/>
    <w:rsid w:val="0084356A"/>
    <w:rsid w:val="0084363C"/>
    <w:rsid w:val="008438C3"/>
    <w:rsid w:val="0084618F"/>
    <w:rsid w:val="00846941"/>
    <w:rsid w:val="008523FD"/>
    <w:rsid w:val="0085698D"/>
    <w:rsid w:val="00856CA2"/>
    <w:rsid w:val="008601D2"/>
    <w:rsid w:val="00862C33"/>
    <w:rsid w:val="00863D0A"/>
    <w:rsid w:val="008649CE"/>
    <w:rsid w:val="0087532C"/>
    <w:rsid w:val="00876281"/>
    <w:rsid w:val="00882A52"/>
    <w:rsid w:val="00882B4F"/>
    <w:rsid w:val="00891716"/>
    <w:rsid w:val="00893999"/>
    <w:rsid w:val="008A75BF"/>
    <w:rsid w:val="008A75E9"/>
    <w:rsid w:val="008B499C"/>
    <w:rsid w:val="008B6079"/>
    <w:rsid w:val="008B723F"/>
    <w:rsid w:val="008C59AE"/>
    <w:rsid w:val="008C79AD"/>
    <w:rsid w:val="008D15B4"/>
    <w:rsid w:val="008D37E7"/>
    <w:rsid w:val="008E07EA"/>
    <w:rsid w:val="008E45A3"/>
    <w:rsid w:val="008E48BC"/>
    <w:rsid w:val="008E563D"/>
    <w:rsid w:val="008E6BE2"/>
    <w:rsid w:val="008F153F"/>
    <w:rsid w:val="008F5629"/>
    <w:rsid w:val="008F5EE4"/>
    <w:rsid w:val="00905ADB"/>
    <w:rsid w:val="00905B74"/>
    <w:rsid w:val="00906F0B"/>
    <w:rsid w:val="0090778D"/>
    <w:rsid w:val="00911804"/>
    <w:rsid w:val="009138A0"/>
    <w:rsid w:val="00913C11"/>
    <w:rsid w:val="00914BD8"/>
    <w:rsid w:val="00916F8B"/>
    <w:rsid w:val="00917C9C"/>
    <w:rsid w:val="00920DF9"/>
    <w:rsid w:val="009230D7"/>
    <w:rsid w:val="009261F0"/>
    <w:rsid w:val="00926857"/>
    <w:rsid w:val="009310E6"/>
    <w:rsid w:val="00932FB7"/>
    <w:rsid w:val="00934FCE"/>
    <w:rsid w:val="00935657"/>
    <w:rsid w:val="00940014"/>
    <w:rsid w:val="0094298D"/>
    <w:rsid w:val="00943465"/>
    <w:rsid w:val="00945FC0"/>
    <w:rsid w:val="0095037C"/>
    <w:rsid w:val="009515E7"/>
    <w:rsid w:val="00955F09"/>
    <w:rsid w:val="009573B8"/>
    <w:rsid w:val="0096001A"/>
    <w:rsid w:val="009649C4"/>
    <w:rsid w:val="00966EC6"/>
    <w:rsid w:val="0097107C"/>
    <w:rsid w:val="00982B97"/>
    <w:rsid w:val="00982FF8"/>
    <w:rsid w:val="00984B51"/>
    <w:rsid w:val="009907F6"/>
    <w:rsid w:val="009A2090"/>
    <w:rsid w:val="009A4186"/>
    <w:rsid w:val="009A4977"/>
    <w:rsid w:val="009A56B3"/>
    <w:rsid w:val="009A6ACD"/>
    <w:rsid w:val="009B494F"/>
    <w:rsid w:val="009B5806"/>
    <w:rsid w:val="009B7122"/>
    <w:rsid w:val="009C1B13"/>
    <w:rsid w:val="009C2848"/>
    <w:rsid w:val="009C52A6"/>
    <w:rsid w:val="009C564A"/>
    <w:rsid w:val="009D05FF"/>
    <w:rsid w:val="009D17B5"/>
    <w:rsid w:val="009D1A66"/>
    <w:rsid w:val="009D215B"/>
    <w:rsid w:val="009D2CB0"/>
    <w:rsid w:val="009D60FA"/>
    <w:rsid w:val="009D7A54"/>
    <w:rsid w:val="009E032C"/>
    <w:rsid w:val="009E4BD2"/>
    <w:rsid w:val="009E7A5F"/>
    <w:rsid w:val="009F1421"/>
    <w:rsid w:val="009F47F8"/>
    <w:rsid w:val="00A0220A"/>
    <w:rsid w:val="00A04C53"/>
    <w:rsid w:val="00A05751"/>
    <w:rsid w:val="00A06434"/>
    <w:rsid w:val="00A078E3"/>
    <w:rsid w:val="00A11E6B"/>
    <w:rsid w:val="00A11F84"/>
    <w:rsid w:val="00A12195"/>
    <w:rsid w:val="00A12AB9"/>
    <w:rsid w:val="00A34D8A"/>
    <w:rsid w:val="00A365F7"/>
    <w:rsid w:val="00A36A46"/>
    <w:rsid w:val="00A402F4"/>
    <w:rsid w:val="00A4241F"/>
    <w:rsid w:val="00A425D4"/>
    <w:rsid w:val="00A43943"/>
    <w:rsid w:val="00A53486"/>
    <w:rsid w:val="00A54A42"/>
    <w:rsid w:val="00A61241"/>
    <w:rsid w:val="00A63947"/>
    <w:rsid w:val="00A74BB1"/>
    <w:rsid w:val="00A75D7A"/>
    <w:rsid w:val="00A77482"/>
    <w:rsid w:val="00A87ABC"/>
    <w:rsid w:val="00A914AA"/>
    <w:rsid w:val="00A94C91"/>
    <w:rsid w:val="00A9546A"/>
    <w:rsid w:val="00A95D00"/>
    <w:rsid w:val="00A95DE8"/>
    <w:rsid w:val="00AA0457"/>
    <w:rsid w:val="00AA186E"/>
    <w:rsid w:val="00AB23C6"/>
    <w:rsid w:val="00AB2C2A"/>
    <w:rsid w:val="00AB3686"/>
    <w:rsid w:val="00AB4400"/>
    <w:rsid w:val="00AB46B5"/>
    <w:rsid w:val="00AC0A16"/>
    <w:rsid w:val="00AC1EF8"/>
    <w:rsid w:val="00AC4982"/>
    <w:rsid w:val="00AD081B"/>
    <w:rsid w:val="00AD3288"/>
    <w:rsid w:val="00AD363E"/>
    <w:rsid w:val="00AD7E13"/>
    <w:rsid w:val="00AE53F1"/>
    <w:rsid w:val="00AE6945"/>
    <w:rsid w:val="00AF20E4"/>
    <w:rsid w:val="00AF2115"/>
    <w:rsid w:val="00AF4270"/>
    <w:rsid w:val="00AF5C83"/>
    <w:rsid w:val="00B057D0"/>
    <w:rsid w:val="00B05E48"/>
    <w:rsid w:val="00B118ED"/>
    <w:rsid w:val="00B13ECD"/>
    <w:rsid w:val="00B161BE"/>
    <w:rsid w:val="00B17DD2"/>
    <w:rsid w:val="00B22C4E"/>
    <w:rsid w:val="00B30D85"/>
    <w:rsid w:val="00B33A08"/>
    <w:rsid w:val="00B34B7D"/>
    <w:rsid w:val="00B417D6"/>
    <w:rsid w:val="00B41A1C"/>
    <w:rsid w:val="00B438F9"/>
    <w:rsid w:val="00B46C41"/>
    <w:rsid w:val="00B54AAC"/>
    <w:rsid w:val="00B60CF1"/>
    <w:rsid w:val="00B67938"/>
    <w:rsid w:val="00B7026E"/>
    <w:rsid w:val="00B86AB4"/>
    <w:rsid w:val="00B91961"/>
    <w:rsid w:val="00B94DD6"/>
    <w:rsid w:val="00B96225"/>
    <w:rsid w:val="00B96B14"/>
    <w:rsid w:val="00B97A37"/>
    <w:rsid w:val="00B97E9D"/>
    <w:rsid w:val="00BA144F"/>
    <w:rsid w:val="00BA1BA7"/>
    <w:rsid w:val="00BA459F"/>
    <w:rsid w:val="00BA49C5"/>
    <w:rsid w:val="00BA5CAA"/>
    <w:rsid w:val="00BA615E"/>
    <w:rsid w:val="00BA7165"/>
    <w:rsid w:val="00BB0A2D"/>
    <w:rsid w:val="00BB4158"/>
    <w:rsid w:val="00BB59B0"/>
    <w:rsid w:val="00BB7E9C"/>
    <w:rsid w:val="00BC3CEA"/>
    <w:rsid w:val="00BC42F7"/>
    <w:rsid w:val="00BC4D85"/>
    <w:rsid w:val="00BC5CCA"/>
    <w:rsid w:val="00BD266B"/>
    <w:rsid w:val="00BD2A2E"/>
    <w:rsid w:val="00BD2D83"/>
    <w:rsid w:val="00BD3A70"/>
    <w:rsid w:val="00BD4BF0"/>
    <w:rsid w:val="00BD73DE"/>
    <w:rsid w:val="00BE152E"/>
    <w:rsid w:val="00BE4B6F"/>
    <w:rsid w:val="00BE4FD5"/>
    <w:rsid w:val="00BE6026"/>
    <w:rsid w:val="00BE622C"/>
    <w:rsid w:val="00BE712B"/>
    <w:rsid w:val="00BE75FF"/>
    <w:rsid w:val="00BF0633"/>
    <w:rsid w:val="00BF1EA1"/>
    <w:rsid w:val="00BF2267"/>
    <w:rsid w:val="00C01B63"/>
    <w:rsid w:val="00C01FDF"/>
    <w:rsid w:val="00C05B68"/>
    <w:rsid w:val="00C106EA"/>
    <w:rsid w:val="00C114D8"/>
    <w:rsid w:val="00C11D30"/>
    <w:rsid w:val="00C12D0F"/>
    <w:rsid w:val="00C305F8"/>
    <w:rsid w:val="00C30D3E"/>
    <w:rsid w:val="00C3406C"/>
    <w:rsid w:val="00C342B3"/>
    <w:rsid w:val="00C34E99"/>
    <w:rsid w:val="00C35A61"/>
    <w:rsid w:val="00C36DAE"/>
    <w:rsid w:val="00C41CAB"/>
    <w:rsid w:val="00C451A5"/>
    <w:rsid w:val="00C53DC2"/>
    <w:rsid w:val="00C56409"/>
    <w:rsid w:val="00C56A2E"/>
    <w:rsid w:val="00C57C01"/>
    <w:rsid w:val="00C6338C"/>
    <w:rsid w:val="00C701AB"/>
    <w:rsid w:val="00C7481C"/>
    <w:rsid w:val="00C759EC"/>
    <w:rsid w:val="00C76E77"/>
    <w:rsid w:val="00C7770F"/>
    <w:rsid w:val="00C93646"/>
    <w:rsid w:val="00CA1BC1"/>
    <w:rsid w:val="00CA752F"/>
    <w:rsid w:val="00CB1446"/>
    <w:rsid w:val="00CB379C"/>
    <w:rsid w:val="00CB3D3F"/>
    <w:rsid w:val="00CB4EE8"/>
    <w:rsid w:val="00CB5365"/>
    <w:rsid w:val="00CB5D47"/>
    <w:rsid w:val="00CB6664"/>
    <w:rsid w:val="00CB7D29"/>
    <w:rsid w:val="00CC0CB4"/>
    <w:rsid w:val="00CC10FB"/>
    <w:rsid w:val="00CC14C4"/>
    <w:rsid w:val="00CC3CF2"/>
    <w:rsid w:val="00CC41EE"/>
    <w:rsid w:val="00CC49AC"/>
    <w:rsid w:val="00CD078C"/>
    <w:rsid w:val="00CD4FA7"/>
    <w:rsid w:val="00CD632F"/>
    <w:rsid w:val="00CD64AA"/>
    <w:rsid w:val="00CD6D03"/>
    <w:rsid w:val="00CE0BE5"/>
    <w:rsid w:val="00CE266E"/>
    <w:rsid w:val="00CE7594"/>
    <w:rsid w:val="00CF3095"/>
    <w:rsid w:val="00CF322D"/>
    <w:rsid w:val="00CF56FF"/>
    <w:rsid w:val="00CF5C46"/>
    <w:rsid w:val="00D0183E"/>
    <w:rsid w:val="00D02279"/>
    <w:rsid w:val="00D03206"/>
    <w:rsid w:val="00D033FC"/>
    <w:rsid w:val="00D11875"/>
    <w:rsid w:val="00D13923"/>
    <w:rsid w:val="00D14975"/>
    <w:rsid w:val="00D14D40"/>
    <w:rsid w:val="00D1723E"/>
    <w:rsid w:val="00D24F9D"/>
    <w:rsid w:val="00D34964"/>
    <w:rsid w:val="00D40E48"/>
    <w:rsid w:val="00D424C6"/>
    <w:rsid w:val="00D42504"/>
    <w:rsid w:val="00D45016"/>
    <w:rsid w:val="00D45EDF"/>
    <w:rsid w:val="00D4793C"/>
    <w:rsid w:val="00D47B11"/>
    <w:rsid w:val="00D54C93"/>
    <w:rsid w:val="00D55DE6"/>
    <w:rsid w:val="00D723FA"/>
    <w:rsid w:val="00D741B7"/>
    <w:rsid w:val="00D754DA"/>
    <w:rsid w:val="00D82CFE"/>
    <w:rsid w:val="00D840C1"/>
    <w:rsid w:val="00D859B0"/>
    <w:rsid w:val="00D86FBE"/>
    <w:rsid w:val="00D918ED"/>
    <w:rsid w:val="00D92413"/>
    <w:rsid w:val="00D945D1"/>
    <w:rsid w:val="00D95BF5"/>
    <w:rsid w:val="00DA0286"/>
    <w:rsid w:val="00DA59C2"/>
    <w:rsid w:val="00DA78C0"/>
    <w:rsid w:val="00DB21D7"/>
    <w:rsid w:val="00DB2D44"/>
    <w:rsid w:val="00DB5A23"/>
    <w:rsid w:val="00DC1C42"/>
    <w:rsid w:val="00DD124C"/>
    <w:rsid w:val="00DD71E9"/>
    <w:rsid w:val="00DD79DE"/>
    <w:rsid w:val="00DE04A1"/>
    <w:rsid w:val="00DE1C6B"/>
    <w:rsid w:val="00DE2064"/>
    <w:rsid w:val="00DE5F33"/>
    <w:rsid w:val="00DE72A4"/>
    <w:rsid w:val="00DE7319"/>
    <w:rsid w:val="00DE7634"/>
    <w:rsid w:val="00DF1EEB"/>
    <w:rsid w:val="00DF2FAA"/>
    <w:rsid w:val="00DF32DA"/>
    <w:rsid w:val="00DF3AF8"/>
    <w:rsid w:val="00DF53C3"/>
    <w:rsid w:val="00DF6189"/>
    <w:rsid w:val="00DF6256"/>
    <w:rsid w:val="00E02727"/>
    <w:rsid w:val="00E036E3"/>
    <w:rsid w:val="00E0410D"/>
    <w:rsid w:val="00E05A9B"/>
    <w:rsid w:val="00E0740B"/>
    <w:rsid w:val="00E07502"/>
    <w:rsid w:val="00E07650"/>
    <w:rsid w:val="00E128D4"/>
    <w:rsid w:val="00E174A3"/>
    <w:rsid w:val="00E252DD"/>
    <w:rsid w:val="00E25A59"/>
    <w:rsid w:val="00E2719F"/>
    <w:rsid w:val="00E30A15"/>
    <w:rsid w:val="00E31EE8"/>
    <w:rsid w:val="00E32404"/>
    <w:rsid w:val="00E33EA5"/>
    <w:rsid w:val="00E36095"/>
    <w:rsid w:val="00E37701"/>
    <w:rsid w:val="00E41115"/>
    <w:rsid w:val="00E421BE"/>
    <w:rsid w:val="00E44B03"/>
    <w:rsid w:val="00E4671E"/>
    <w:rsid w:val="00E47873"/>
    <w:rsid w:val="00E51378"/>
    <w:rsid w:val="00E54D21"/>
    <w:rsid w:val="00E6113C"/>
    <w:rsid w:val="00E6160B"/>
    <w:rsid w:val="00E61C5A"/>
    <w:rsid w:val="00E728B9"/>
    <w:rsid w:val="00E74C6E"/>
    <w:rsid w:val="00E76540"/>
    <w:rsid w:val="00E76C46"/>
    <w:rsid w:val="00E80CC1"/>
    <w:rsid w:val="00E8177A"/>
    <w:rsid w:val="00E8353D"/>
    <w:rsid w:val="00E94898"/>
    <w:rsid w:val="00E94B66"/>
    <w:rsid w:val="00EA17E9"/>
    <w:rsid w:val="00EB1392"/>
    <w:rsid w:val="00EB1B60"/>
    <w:rsid w:val="00EB1FA2"/>
    <w:rsid w:val="00EB229A"/>
    <w:rsid w:val="00EB2D1C"/>
    <w:rsid w:val="00EB6302"/>
    <w:rsid w:val="00EC07F2"/>
    <w:rsid w:val="00EC31AF"/>
    <w:rsid w:val="00ED0443"/>
    <w:rsid w:val="00ED21B7"/>
    <w:rsid w:val="00ED4004"/>
    <w:rsid w:val="00ED5333"/>
    <w:rsid w:val="00ED5BA9"/>
    <w:rsid w:val="00ED6AA1"/>
    <w:rsid w:val="00EE36AF"/>
    <w:rsid w:val="00EE7A53"/>
    <w:rsid w:val="00EF5E39"/>
    <w:rsid w:val="00F02B60"/>
    <w:rsid w:val="00F10BA0"/>
    <w:rsid w:val="00F12514"/>
    <w:rsid w:val="00F12948"/>
    <w:rsid w:val="00F157CA"/>
    <w:rsid w:val="00F201A1"/>
    <w:rsid w:val="00F20604"/>
    <w:rsid w:val="00F241EB"/>
    <w:rsid w:val="00F25889"/>
    <w:rsid w:val="00F278AC"/>
    <w:rsid w:val="00F34CF8"/>
    <w:rsid w:val="00F35E74"/>
    <w:rsid w:val="00F36E07"/>
    <w:rsid w:val="00F4537B"/>
    <w:rsid w:val="00F463C8"/>
    <w:rsid w:val="00F47F27"/>
    <w:rsid w:val="00F50781"/>
    <w:rsid w:val="00F50BBB"/>
    <w:rsid w:val="00F51176"/>
    <w:rsid w:val="00F51792"/>
    <w:rsid w:val="00F53732"/>
    <w:rsid w:val="00F60733"/>
    <w:rsid w:val="00F64C99"/>
    <w:rsid w:val="00F65FEC"/>
    <w:rsid w:val="00F662D6"/>
    <w:rsid w:val="00F7087C"/>
    <w:rsid w:val="00F728D4"/>
    <w:rsid w:val="00F74D5D"/>
    <w:rsid w:val="00F76FF4"/>
    <w:rsid w:val="00F77662"/>
    <w:rsid w:val="00F85BDC"/>
    <w:rsid w:val="00F866C8"/>
    <w:rsid w:val="00F91FDE"/>
    <w:rsid w:val="00F9458A"/>
    <w:rsid w:val="00F9693E"/>
    <w:rsid w:val="00F97475"/>
    <w:rsid w:val="00F9772F"/>
    <w:rsid w:val="00F97F35"/>
    <w:rsid w:val="00F97FB6"/>
    <w:rsid w:val="00FA0959"/>
    <w:rsid w:val="00FA18FA"/>
    <w:rsid w:val="00FA1F46"/>
    <w:rsid w:val="00FA2C49"/>
    <w:rsid w:val="00FA335F"/>
    <w:rsid w:val="00FA5456"/>
    <w:rsid w:val="00FA7213"/>
    <w:rsid w:val="00FB29A8"/>
    <w:rsid w:val="00FB2B0B"/>
    <w:rsid w:val="00FC028B"/>
    <w:rsid w:val="00FC0600"/>
    <w:rsid w:val="00FC0919"/>
    <w:rsid w:val="00FC1B72"/>
    <w:rsid w:val="00FC3539"/>
    <w:rsid w:val="00FC3FB2"/>
    <w:rsid w:val="00FC4F41"/>
    <w:rsid w:val="00FC545E"/>
    <w:rsid w:val="00FD0555"/>
    <w:rsid w:val="00FD5203"/>
    <w:rsid w:val="00FD775B"/>
    <w:rsid w:val="00FE4B72"/>
    <w:rsid w:val="00FE4F66"/>
    <w:rsid w:val="00FE6D90"/>
    <w:rsid w:val="00FE6FC3"/>
    <w:rsid w:val="00FF0E8D"/>
    <w:rsid w:val="00FF51D4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39FE7A6-103D-4A4F-B2FD-E74066A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93"/>
  </w:style>
  <w:style w:type="paragraph" w:styleId="Heading1">
    <w:name w:val="heading 1"/>
    <w:basedOn w:val="Normal"/>
    <w:next w:val="Normal"/>
    <w:link w:val="Heading1Char"/>
    <w:uiPriority w:val="9"/>
    <w:qFormat/>
    <w:rsid w:val="00396C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C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96C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96C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6C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396C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396C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396C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6C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6C93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96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0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606885"/>
    <w:pPr>
      <w:tabs>
        <w:tab w:val="left" w:pos="1134"/>
        <w:tab w:val="left" w:pos="5500"/>
        <w:tab w:val="left" w:pos="66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12507"/>
    <w:rPr>
      <w:b/>
      <w:bCs/>
      <w:strike w:val="0"/>
      <w:dstrike w:val="0"/>
      <w:color w:val="02586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96C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C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C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C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C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C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C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6C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C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C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C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6C93"/>
    <w:rPr>
      <w:b/>
      <w:bCs/>
    </w:rPr>
  </w:style>
  <w:style w:type="character" w:styleId="Emphasis">
    <w:name w:val="Emphasis"/>
    <w:uiPriority w:val="20"/>
    <w:qFormat/>
    <w:rsid w:val="00396C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6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C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C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C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C93"/>
    <w:rPr>
      <w:b/>
      <w:bCs/>
      <w:i/>
      <w:iCs/>
    </w:rPr>
  </w:style>
  <w:style w:type="character" w:styleId="SubtleEmphasis">
    <w:name w:val="Subtle Emphasis"/>
    <w:uiPriority w:val="19"/>
    <w:qFormat/>
    <w:rsid w:val="00396C93"/>
    <w:rPr>
      <w:i/>
      <w:iCs/>
    </w:rPr>
  </w:style>
  <w:style w:type="character" w:styleId="IntenseEmphasis">
    <w:name w:val="Intense Emphasis"/>
    <w:uiPriority w:val="21"/>
    <w:qFormat/>
    <w:rsid w:val="00396C93"/>
    <w:rPr>
      <w:b/>
      <w:bCs/>
    </w:rPr>
  </w:style>
  <w:style w:type="character" w:styleId="SubtleReference">
    <w:name w:val="Subtle Reference"/>
    <w:uiPriority w:val="31"/>
    <w:qFormat/>
    <w:rsid w:val="00396C93"/>
    <w:rPr>
      <w:smallCaps/>
    </w:rPr>
  </w:style>
  <w:style w:type="character" w:styleId="IntenseReference">
    <w:name w:val="Intense Reference"/>
    <w:uiPriority w:val="32"/>
    <w:qFormat/>
    <w:rsid w:val="00396C93"/>
    <w:rPr>
      <w:smallCaps/>
      <w:spacing w:val="5"/>
      <w:u w:val="single"/>
    </w:rPr>
  </w:style>
  <w:style w:type="character" w:styleId="BookTitle">
    <w:name w:val="Book Title"/>
    <w:uiPriority w:val="33"/>
    <w:qFormat/>
    <w:rsid w:val="00396C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96C9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2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5B"/>
  </w:style>
  <w:style w:type="paragraph" w:styleId="Footer">
    <w:name w:val="footer"/>
    <w:basedOn w:val="Normal"/>
    <w:link w:val="FooterChar"/>
    <w:uiPriority w:val="99"/>
    <w:unhideWhenUsed/>
    <w:rsid w:val="00FD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5B"/>
  </w:style>
  <w:style w:type="paragraph" w:styleId="TOC1">
    <w:name w:val="toc 1"/>
    <w:basedOn w:val="Normal"/>
    <w:next w:val="Normal"/>
    <w:autoRedefine/>
    <w:uiPriority w:val="39"/>
    <w:unhideWhenUsed/>
    <w:rsid w:val="00920DF9"/>
    <w:pPr>
      <w:numPr>
        <w:numId w:val="18"/>
      </w:numPr>
      <w:tabs>
        <w:tab w:val="left" w:pos="660"/>
        <w:tab w:val="left" w:pos="1560"/>
        <w:tab w:val="right" w:leader="dot" w:pos="9016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7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7568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45A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E5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</Term>
    <DocType2 xmlns="242c32be-31bf-422c-ab0d-7abc8ae381ac">Template</DocType2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Project xmlns="242c32be-31bf-422c-ab0d-7abc8ae381ac" xsi:nil="true"/>
    <Destruction_x0020_Date xmlns="242c32be-31bf-422c-ab0d-7abc8ae381ac">3000-03-30T23:00:00+00:00</Destruction_x0020_Date>
    <Forum xmlns="242c32be-31bf-422c-ab0d-7abc8ae381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66B2-70A5-4CA0-B400-82D91CAA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27A37-8B8B-40DC-8674-08F0FF102839}">
  <ds:schemaRefs>
    <ds:schemaRef ds:uri="http://schemas.microsoft.com/office/2006/documentManagement/types"/>
    <ds:schemaRef ds:uri="http://purl.org/dc/elements/1.1/"/>
    <ds:schemaRef ds:uri="242c32be-31bf-422c-ab0d-7abc8ae381ac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9FDA2-5814-4C57-BCDF-D82BD9860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45591-BA43-43B8-98DF-3EE1F77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David</dc:creator>
  <cp:lastModifiedBy>Harris Nicola OPCC</cp:lastModifiedBy>
  <cp:revision>2</cp:revision>
  <cp:lastPrinted>2017-09-21T12:44:00Z</cp:lastPrinted>
  <dcterms:created xsi:type="dcterms:W3CDTF">2019-07-12T08:15:00Z</dcterms:created>
  <dcterms:modified xsi:type="dcterms:W3CDTF">2019-07-12T08:15:00Z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Order">
    <vt:r8>5494400</vt:r8>
  </property>
  <property fmtid="{D5CDD505-2E9C-101B-9397-08002B2CF9AE}" pid="5" name="TitusGUID">
    <vt:lpwstr>c75d8fba-6295-4c28-bfda-3edd15b9eec5</vt:lpwstr>
  </property>
</Properties>
</file>