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1C" w:rsidRPr="003E0801" w:rsidRDefault="0028441C" w:rsidP="0028441C">
      <w:pPr>
        <w:pStyle w:val="BodyText"/>
        <w:spacing w:before="79"/>
        <w:ind w:right="114"/>
        <w:jc w:val="center"/>
        <w:rPr>
          <w:u w:val="thick"/>
        </w:rPr>
      </w:pPr>
      <w:r>
        <w:rPr>
          <w:u w:val="thick"/>
        </w:rPr>
        <w:t>Terms of Reference</w:t>
      </w:r>
    </w:p>
    <w:p w:rsidR="0028441C" w:rsidRDefault="0028441C" w:rsidP="0028441C">
      <w:pPr>
        <w:rPr>
          <w:b/>
          <w:sz w:val="20"/>
        </w:rPr>
      </w:pPr>
      <w:bookmarkStart w:id="0" w:name="_GoBack"/>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28441C" w:rsidTr="0028441C">
        <w:trPr>
          <w:trHeight w:val="551"/>
        </w:trPr>
        <w:tc>
          <w:tcPr>
            <w:tcW w:w="2659" w:type="dxa"/>
            <w:tcBorders>
              <w:left w:val="single" w:sz="6" w:space="0" w:color="000000"/>
            </w:tcBorders>
            <w:shd w:val="clear" w:color="auto" w:fill="F1F1F1"/>
          </w:tcPr>
          <w:bookmarkEnd w:id="0"/>
          <w:p w:rsidR="0028441C" w:rsidRDefault="0028441C" w:rsidP="0028441C">
            <w:pPr>
              <w:pStyle w:val="TableParagraph"/>
              <w:spacing w:line="271" w:lineRule="exact"/>
              <w:ind w:left="105"/>
              <w:rPr>
                <w:b/>
                <w:sz w:val="24"/>
              </w:rPr>
            </w:pPr>
            <w:r>
              <w:rPr>
                <w:b/>
                <w:sz w:val="24"/>
              </w:rPr>
              <w:t>Meeting Title:</w:t>
            </w:r>
          </w:p>
        </w:tc>
        <w:tc>
          <w:tcPr>
            <w:tcW w:w="6584" w:type="dxa"/>
          </w:tcPr>
          <w:p w:rsidR="0028441C" w:rsidRDefault="0028441C" w:rsidP="0028441C">
            <w:pPr>
              <w:pStyle w:val="TableParagraph"/>
              <w:spacing w:line="276" w:lineRule="exact"/>
              <w:ind w:left="109" w:right="124"/>
              <w:rPr>
                <w:b/>
                <w:sz w:val="24"/>
              </w:rPr>
            </w:pPr>
            <w:r>
              <w:rPr>
                <w:b/>
                <w:sz w:val="24"/>
              </w:rPr>
              <w:t>Police and Crime Commissioner (PCC) and Chief Constable (CC) for Dyfed-Powys Joint Audit Committee</w:t>
            </w:r>
          </w:p>
        </w:tc>
      </w:tr>
      <w:tr w:rsidR="0028441C" w:rsidTr="0028441C">
        <w:trPr>
          <w:trHeight w:val="2772"/>
        </w:trPr>
        <w:tc>
          <w:tcPr>
            <w:tcW w:w="2659" w:type="dxa"/>
            <w:tcBorders>
              <w:left w:val="single" w:sz="6" w:space="0" w:color="000000"/>
            </w:tcBorders>
            <w:shd w:val="clear" w:color="auto" w:fill="F1F1F1"/>
          </w:tcPr>
          <w:p w:rsidR="0028441C" w:rsidRDefault="0028441C" w:rsidP="0028441C">
            <w:pPr>
              <w:pStyle w:val="TableParagraph"/>
              <w:ind w:left="105" w:right="81"/>
              <w:rPr>
                <w:b/>
                <w:sz w:val="24"/>
              </w:rPr>
            </w:pPr>
            <w:r>
              <w:rPr>
                <w:b/>
                <w:sz w:val="24"/>
              </w:rPr>
              <w:t>Statement of meeting purpose:</w:t>
            </w:r>
          </w:p>
        </w:tc>
        <w:tc>
          <w:tcPr>
            <w:tcW w:w="6584" w:type="dxa"/>
          </w:tcPr>
          <w:p w:rsidR="0028441C" w:rsidRDefault="0028441C" w:rsidP="0028441C">
            <w:pPr>
              <w:pStyle w:val="TableParagraph"/>
              <w:ind w:left="109" w:right="145"/>
            </w:pPr>
            <w:r>
              <w:t>Our Joint Audit Committee is a key component of the Dyfed- Powys Local Policing Body’s corporate governance. It provides an independent and high level focus on the audit, assurance and reporting arrangements that underpin good governance and financial standards.</w:t>
            </w:r>
          </w:p>
          <w:p w:rsidR="0028441C" w:rsidRDefault="0028441C" w:rsidP="0028441C">
            <w:pPr>
              <w:pStyle w:val="TableParagraph"/>
              <w:spacing w:before="117"/>
              <w:ind w:left="109" w:right="280"/>
            </w:pPr>
            <w:r>
              <w:t>The purpose of our Joint Audit Committee is to provide independent assurance to the PCC and CC on the adequacy of the governance and risk management frameworks, the internal control environment, and financial reporting, thereby helping to ensure efficient and effective arrangements are in place.</w:t>
            </w:r>
          </w:p>
        </w:tc>
      </w:tr>
      <w:tr w:rsidR="0028441C" w:rsidTr="0028441C">
        <w:trPr>
          <w:trHeight w:val="9539"/>
        </w:trPr>
        <w:tc>
          <w:tcPr>
            <w:tcW w:w="2659" w:type="dxa"/>
            <w:tcBorders>
              <w:left w:val="single" w:sz="6" w:space="0" w:color="000000"/>
            </w:tcBorders>
            <w:shd w:val="clear" w:color="auto" w:fill="F1F1F1"/>
          </w:tcPr>
          <w:p w:rsidR="0028441C" w:rsidRDefault="0028441C" w:rsidP="0028441C">
            <w:pPr>
              <w:pStyle w:val="TableParagraph"/>
              <w:spacing w:line="271" w:lineRule="exact"/>
              <w:ind w:left="105"/>
              <w:rPr>
                <w:b/>
                <w:sz w:val="24"/>
              </w:rPr>
            </w:pPr>
            <w:r>
              <w:rPr>
                <w:b/>
                <w:sz w:val="24"/>
              </w:rPr>
              <w:t>Meeting objectives:</w:t>
            </w:r>
          </w:p>
        </w:tc>
        <w:tc>
          <w:tcPr>
            <w:tcW w:w="6584" w:type="dxa"/>
          </w:tcPr>
          <w:p w:rsidR="0028441C" w:rsidRDefault="0028441C" w:rsidP="0028441C">
            <w:pPr>
              <w:pStyle w:val="TableParagraph"/>
              <w:ind w:left="109" w:right="171"/>
            </w:pPr>
            <w:r>
              <w:t>The committee provides independent review of the effectiveness of governance arrangements, risk management and control frameworks, including financial reporting, annual governance processes, and internal and external audit findings. To achieve this, the Committee will:</w:t>
            </w:r>
          </w:p>
          <w:p w:rsidR="0028441C" w:rsidRDefault="0028441C" w:rsidP="0028441C">
            <w:pPr>
              <w:pStyle w:val="TableParagraph"/>
              <w:ind w:left="0"/>
              <w:rPr>
                <w:b/>
                <w:sz w:val="24"/>
              </w:rPr>
            </w:pPr>
          </w:p>
          <w:p w:rsidR="0028441C" w:rsidRDefault="0028441C" w:rsidP="0028441C">
            <w:pPr>
              <w:pStyle w:val="TableParagraph"/>
              <w:spacing w:before="211"/>
              <w:ind w:left="109"/>
              <w:rPr>
                <w:b/>
              </w:rPr>
            </w:pPr>
            <w:r>
              <w:rPr>
                <w:b/>
                <w:u w:val="thick"/>
              </w:rPr>
              <w:t>Governance, risk and control</w:t>
            </w:r>
          </w:p>
          <w:p w:rsidR="0028441C" w:rsidRDefault="0028441C" w:rsidP="0028441C">
            <w:pPr>
              <w:pStyle w:val="TableParagraph"/>
              <w:numPr>
                <w:ilvl w:val="0"/>
                <w:numId w:val="4"/>
              </w:numPr>
              <w:tabs>
                <w:tab w:val="left" w:pos="568"/>
              </w:tabs>
              <w:ind w:right="537" w:hanging="283"/>
            </w:pPr>
            <w:r w:rsidRPr="00AF5BE6">
              <w:t>Advise the PCC and CC according to good governance principles, incl</w:t>
            </w:r>
            <w:r>
              <w:t xml:space="preserve">uding the ethical framework. </w:t>
            </w:r>
          </w:p>
          <w:p w:rsidR="0028441C" w:rsidRPr="00AF5BE6" w:rsidRDefault="0028441C" w:rsidP="0028441C">
            <w:pPr>
              <w:pStyle w:val="TableParagraph"/>
              <w:numPr>
                <w:ilvl w:val="0"/>
                <w:numId w:val="4"/>
              </w:numPr>
              <w:tabs>
                <w:tab w:val="left" w:pos="568"/>
              </w:tabs>
              <w:ind w:right="537" w:hanging="283"/>
            </w:pPr>
            <w:r>
              <w:t>C</w:t>
            </w:r>
            <w:r w:rsidRPr="00AF5BE6">
              <w:t>onsider the local code of governance.</w:t>
            </w:r>
          </w:p>
          <w:p w:rsidR="0028441C" w:rsidRPr="00AF5BE6" w:rsidRDefault="0028441C" w:rsidP="0028441C">
            <w:pPr>
              <w:pStyle w:val="TableParagraph"/>
              <w:numPr>
                <w:ilvl w:val="0"/>
                <w:numId w:val="4"/>
              </w:numPr>
              <w:tabs>
                <w:tab w:val="left" w:pos="568"/>
              </w:tabs>
              <w:ind w:right="537" w:hanging="283"/>
            </w:pPr>
            <w:r w:rsidRPr="00AF5BE6">
              <w:t>Recommend approval of the Annual Governance Statements for inclusion in the Statements of</w:t>
            </w:r>
            <w:r w:rsidRPr="00AF5BE6">
              <w:rPr>
                <w:spacing w:val="-12"/>
              </w:rPr>
              <w:t xml:space="preserve"> </w:t>
            </w:r>
            <w:r w:rsidRPr="00AF5BE6">
              <w:t>Accounts.</w:t>
            </w:r>
          </w:p>
          <w:p w:rsidR="0028441C" w:rsidRPr="00AF5BE6" w:rsidRDefault="0028441C" w:rsidP="0028441C">
            <w:pPr>
              <w:pStyle w:val="TableParagraph"/>
              <w:numPr>
                <w:ilvl w:val="0"/>
                <w:numId w:val="4"/>
              </w:numPr>
              <w:tabs>
                <w:tab w:val="left" w:pos="568"/>
              </w:tabs>
              <w:ind w:right="537" w:hanging="283"/>
            </w:pPr>
            <w:r w:rsidRPr="00AF5BE6">
              <w:t>Recommend approval of and Code of Corporate Governance for the Force or the Office of the Police and Crime Commissioner</w:t>
            </w:r>
            <w:r w:rsidRPr="00AF5BE6">
              <w:rPr>
                <w:spacing w:val="-2"/>
              </w:rPr>
              <w:t xml:space="preserve"> </w:t>
            </w:r>
            <w:r w:rsidRPr="00AF5BE6">
              <w:t>(OPCC).</w:t>
            </w:r>
          </w:p>
          <w:p w:rsidR="0028441C" w:rsidRPr="00AF5BE6" w:rsidRDefault="0028441C" w:rsidP="0028441C">
            <w:pPr>
              <w:pStyle w:val="TableParagraph"/>
              <w:numPr>
                <w:ilvl w:val="0"/>
                <w:numId w:val="4"/>
              </w:numPr>
              <w:tabs>
                <w:tab w:val="left" w:pos="568"/>
              </w:tabs>
              <w:ind w:right="1038" w:hanging="283"/>
            </w:pPr>
            <w:r w:rsidRPr="00AF5BE6">
              <w:t>Consider and comment upon any policy or strategy regarding</w:t>
            </w:r>
            <w:r w:rsidRPr="00AF5BE6">
              <w:rPr>
                <w:spacing w:val="1"/>
              </w:rPr>
              <w:t xml:space="preserve"> </w:t>
            </w:r>
            <w:r w:rsidRPr="00AF5BE6">
              <w:t>commissioning.</w:t>
            </w:r>
          </w:p>
          <w:p w:rsidR="0028441C" w:rsidRPr="00AF5BE6" w:rsidRDefault="0028441C" w:rsidP="0028441C">
            <w:pPr>
              <w:pStyle w:val="TableParagraph"/>
              <w:numPr>
                <w:ilvl w:val="0"/>
                <w:numId w:val="4"/>
              </w:numPr>
              <w:tabs>
                <w:tab w:val="left" w:pos="568"/>
              </w:tabs>
              <w:ind w:right="499" w:hanging="283"/>
            </w:pPr>
            <w:r w:rsidRPr="00AF5BE6">
              <w:t>Consider reports on the effectiveness of internal controls and monitor the implementation of agreed</w:t>
            </w:r>
            <w:r w:rsidRPr="00AF5BE6">
              <w:rPr>
                <w:spacing w:val="-5"/>
              </w:rPr>
              <w:t xml:space="preserve"> </w:t>
            </w:r>
            <w:r w:rsidRPr="00AF5BE6">
              <w:t>actions.</w:t>
            </w:r>
          </w:p>
          <w:p w:rsidR="0028441C" w:rsidRPr="00FA1B1B" w:rsidRDefault="0028441C" w:rsidP="0028441C">
            <w:pPr>
              <w:pStyle w:val="TableParagraph"/>
              <w:numPr>
                <w:ilvl w:val="0"/>
                <w:numId w:val="4"/>
              </w:numPr>
              <w:tabs>
                <w:tab w:val="left" w:pos="568"/>
              </w:tabs>
              <w:ind w:right="537" w:hanging="283"/>
            </w:pPr>
            <w:r w:rsidRPr="00AF5BE6">
              <w:t>Consider HMI</w:t>
            </w:r>
            <w:r w:rsidRPr="00FA1B1B">
              <w:t>CFRS and other external review findings to the extent in which they relate to governance, risk and internal control</w:t>
            </w:r>
            <w:r w:rsidRPr="00FA1B1B">
              <w:rPr>
                <w:spacing w:val="-4"/>
              </w:rPr>
              <w:t xml:space="preserve"> </w:t>
            </w:r>
            <w:r w:rsidRPr="00FA1B1B">
              <w:t>matters.</w:t>
            </w:r>
          </w:p>
          <w:p w:rsidR="0028441C" w:rsidRPr="00FA1B1B" w:rsidRDefault="0028441C" w:rsidP="0028441C">
            <w:pPr>
              <w:pStyle w:val="TableParagraph"/>
              <w:numPr>
                <w:ilvl w:val="0"/>
                <w:numId w:val="4"/>
              </w:numPr>
              <w:tabs>
                <w:tab w:val="left" w:pos="568"/>
              </w:tabs>
              <w:ind w:right="537" w:hanging="283"/>
            </w:pPr>
            <w:r w:rsidRPr="00FA1B1B">
              <w:t>Review arrangements for the valuation of fraud risks and potential harm from fraud and corruption and monitor the effectiveness of the counter fraud strategy, actions and resources.</w:t>
            </w:r>
          </w:p>
          <w:p w:rsidR="0028441C" w:rsidRPr="00FA1B1B" w:rsidRDefault="0028441C" w:rsidP="0028441C">
            <w:pPr>
              <w:pStyle w:val="TableParagraph"/>
              <w:numPr>
                <w:ilvl w:val="0"/>
                <w:numId w:val="4"/>
              </w:numPr>
              <w:tabs>
                <w:tab w:val="left" w:pos="568"/>
              </w:tabs>
              <w:ind w:right="278" w:hanging="283"/>
            </w:pPr>
            <w:r w:rsidRPr="00FA1B1B">
              <w:t>Monitor the effective development and operation of risk management within the OPCC and Force, including monitoring the OPCC and Force Corporate Risk</w:t>
            </w:r>
            <w:r w:rsidRPr="00FA1B1B">
              <w:rPr>
                <w:spacing w:val="-15"/>
              </w:rPr>
              <w:t xml:space="preserve"> </w:t>
            </w:r>
            <w:r w:rsidRPr="00FA1B1B">
              <w:t>Registers.</w:t>
            </w:r>
          </w:p>
          <w:p w:rsidR="0028441C" w:rsidRPr="00FA1B1B" w:rsidRDefault="0028441C" w:rsidP="0028441C">
            <w:pPr>
              <w:pStyle w:val="TableParagraph"/>
              <w:numPr>
                <w:ilvl w:val="0"/>
                <w:numId w:val="3"/>
              </w:numPr>
              <w:tabs>
                <w:tab w:val="left" w:pos="568"/>
              </w:tabs>
              <w:spacing w:before="2"/>
              <w:ind w:right="1038" w:hanging="283"/>
            </w:pPr>
            <w:r w:rsidRPr="00FA1B1B">
              <w:t>Consider the arrangements to secure value for money and review assurances and assessments on the effectiveness of these arrangements</w:t>
            </w:r>
          </w:p>
          <w:p w:rsidR="0028441C" w:rsidRPr="00FA1B1B" w:rsidRDefault="0028441C" w:rsidP="0028441C">
            <w:pPr>
              <w:pStyle w:val="TableParagraph"/>
              <w:numPr>
                <w:ilvl w:val="0"/>
                <w:numId w:val="3"/>
              </w:numPr>
              <w:tabs>
                <w:tab w:val="left" w:pos="568"/>
              </w:tabs>
              <w:spacing w:before="2"/>
              <w:ind w:right="1038" w:hanging="283"/>
            </w:pPr>
            <w:r w:rsidRPr="00FA1B1B">
              <w:t>Review the effectiveness of whistleblowing arrangements.</w:t>
            </w:r>
          </w:p>
          <w:p w:rsidR="0028441C" w:rsidRPr="004060D0" w:rsidRDefault="0028441C" w:rsidP="0028441C">
            <w:pPr>
              <w:pStyle w:val="TableParagraph"/>
              <w:ind w:left="0"/>
              <w:rPr>
                <w:b/>
                <w:color w:val="FF0000"/>
                <w:sz w:val="24"/>
              </w:rPr>
            </w:pPr>
          </w:p>
          <w:p w:rsidR="0028441C" w:rsidRDefault="0028441C" w:rsidP="0028441C">
            <w:pPr>
              <w:pStyle w:val="TableParagraph"/>
              <w:ind w:left="0"/>
              <w:rPr>
                <w:b/>
                <w:sz w:val="24"/>
              </w:rPr>
            </w:pPr>
          </w:p>
          <w:p w:rsidR="0028441C" w:rsidRDefault="0028441C" w:rsidP="0028441C">
            <w:pPr>
              <w:pStyle w:val="TableParagraph"/>
              <w:ind w:left="0"/>
              <w:rPr>
                <w:b/>
                <w:sz w:val="24"/>
              </w:rPr>
            </w:pPr>
          </w:p>
          <w:p w:rsidR="0028441C" w:rsidRDefault="0028441C" w:rsidP="0028441C">
            <w:pPr>
              <w:pStyle w:val="TableParagraph"/>
              <w:ind w:left="0"/>
              <w:rPr>
                <w:b/>
                <w:sz w:val="24"/>
              </w:rPr>
            </w:pPr>
          </w:p>
          <w:p w:rsidR="0028441C" w:rsidRDefault="0028441C" w:rsidP="0028441C">
            <w:pPr>
              <w:pStyle w:val="TableParagraph"/>
              <w:ind w:left="0"/>
              <w:rPr>
                <w:b/>
                <w:sz w:val="24"/>
              </w:rPr>
            </w:pPr>
          </w:p>
          <w:p w:rsidR="0028441C" w:rsidRDefault="0028441C" w:rsidP="0028441C">
            <w:pPr>
              <w:pStyle w:val="TableParagraph"/>
              <w:ind w:left="0"/>
              <w:rPr>
                <w:b/>
                <w:sz w:val="24"/>
              </w:rPr>
            </w:pPr>
          </w:p>
          <w:p w:rsidR="0028441C" w:rsidRDefault="0028441C" w:rsidP="0028441C">
            <w:pPr>
              <w:pStyle w:val="TableParagraph"/>
              <w:spacing w:before="215"/>
              <w:ind w:left="109"/>
              <w:rPr>
                <w:b/>
              </w:rPr>
            </w:pPr>
            <w:r>
              <w:rPr>
                <w:b/>
                <w:u w:val="thick"/>
              </w:rPr>
              <w:t>Financial Management</w:t>
            </w:r>
          </w:p>
          <w:p w:rsidR="0028441C" w:rsidRDefault="0028441C" w:rsidP="0028441C">
            <w:pPr>
              <w:pStyle w:val="TableParagraph"/>
              <w:numPr>
                <w:ilvl w:val="0"/>
                <w:numId w:val="4"/>
              </w:numPr>
              <w:tabs>
                <w:tab w:val="left" w:pos="568"/>
              </w:tabs>
              <w:spacing w:before="122"/>
              <w:ind w:right="439" w:hanging="283"/>
            </w:pPr>
            <w:r>
              <w:t>Provide assurance regarding the Statements of Accounts and that the appropriate accounting policies have been applied.</w:t>
            </w:r>
          </w:p>
          <w:p w:rsidR="0028441C" w:rsidRDefault="0028441C" w:rsidP="0028441C">
            <w:pPr>
              <w:pStyle w:val="TableParagraph"/>
              <w:numPr>
                <w:ilvl w:val="0"/>
                <w:numId w:val="4"/>
              </w:numPr>
              <w:tabs>
                <w:tab w:val="left" w:pos="568"/>
              </w:tabs>
              <w:spacing w:before="2"/>
              <w:ind w:right="404" w:hanging="283"/>
            </w:pPr>
            <w:r>
              <w:t>Monitor the integrity of any published financial statements and any formal announcements relating to financial performance.</w:t>
            </w:r>
          </w:p>
          <w:p w:rsidR="0028441C" w:rsidRDefault="0028441C" w:rsidP="0028441C">
            <w:pPr>
              <w:pStyle w:val="TableParagraph"/>
              <w:numPr>
                <w:ilvl w:val="0"/>
                <w:numId w:val="4"/>
              </w:numPr>
              <w:tabs>
                <w:tab w:val="left" w:pos="568"/>
              </w:tabs>
              <w:ind w:right="1038" w:hanging="283"/>
            </w:pPr>
            <w:r>
              <w:t>Consider and comment upon any policy or strategy regarding</w:t>
            </w:r>
            <w:r>
              <w:rPr>
                <w:spacing w:val="-1"/>
              </w:rPr>
              <w:t xml:space="preserve"> </w:t>
            </w:r>
            <w:r>
              <w:t>reserves.</w:t>
            </w:r>
          </w:p>
          <w:p w:rsidR="0028441C" w:rsidRDefault="0028441C" w:rsidP="0028441C">
            <w:pPr>
              <w:pStyle w:val="TableParagraph"/>
              <w:numPr>
                <w:ilvl w:val="0"/>
                <w:numId w:val="4"/>
              </w:numPr>
              <w:tabs>
                <w:tab w:val="left" w:pos="568"/>
              </w:tabs>
              <w:spacing w:line="252" w:lineRule="exact"/>
              <w:ind w:hanging="283"/>
            </w:pPr>
            <w:r>
              <w:t>Comment on the budget planning</w:t>
            </w:r>
            <w:r>
              <w:rPr>
                <w:spacing w:val="-4"/>
              </w:rPr>
              <w:t xml:space="preserve"> </w:t>
            </w:r>
            <w:r>
              <w:t>process.</w:t>
            </w:r>
          </w:p>
          <w:p w:rsidR="0028441C" w:rsidRDefault="0028441C" w:rsidP="0028441C">
            <w:pPr>
              <w:pStyle w:val="TableParagraph"/>
              <w:numPr>
                <w:ilvl w:val="0"/>
                <w:numId w:val="4"/>
              </w:numPr>
              <w:tabs>
                <w:tab w:val="left" w:pos="568"/>
              </w:tabs>
              <w:spacing w:line="236" w:lineRule="exact"/>
              <w:ind w:hanging="283"/>
            </w:pPr>
            <w:r>
              <w:t>Consider and comment upon the Financial</w:t>
            </w:r>
            <w:r>
              <w:rPr>
                <w:spacing w:val="-7"/>
              </w:rPr>
              <w:t xml:space="preserve"> </w:t>
            </w:r>
            <w:r>
              <w:t>Strategy</w:t>
            </w:r>
          </w:p>
          <w:p w:rsidR="0028441C" w:rsidRDefault="0028441C" w:rsidP="0028441C">
            <w:pPr>
              <w:pStyle w:val="TableParagraph"/>
              <w:spacing w:line="250" w:lineRule="exact"/>
              <w:ind w:left="0"/>
            </w:pPr>
            <w:r>
              <w:t xml:space="preserve">         (Medium Term Financial Plan).</w:t>
            </w:r>
          </w:p>
          <w:p w:rsidR="0028441C" w:rsidRDefault="0028441C" w:rsidP="0028441C">
            <w:pPr>
              <w:pStyle w:val="TableParagraph"/>
              <w:numPr>
                <w:ilvl w:val="0"/>
                <w:numId w:val="3"/>
              </w:numPr>
              <w:tabs>
                <w:tab w:val="left" w:pos="568"/>
              </w:tabs>
              <w:spacing w:before="2"/>
              <w:ind w:right="1038" w:hanging="283"/>
            </w:pPr>
            <w:r>
              <w:t>Consider and comment upon any policy or strategy regarding asset management.</w:t>
            </w:r>
          </w:p>
          <w:p w:rsidR="0028441C" w:rsidRPr="00FA1B1B" w:rsidRDefault="0028441C" w:rsidP="0028441C">
            <w:pPr>
              <w:pStyle w:val="TableParagraph"/>
              <w:numPr>
                <w:ilvl w:val="0"/>
                <w:numId w:val="3"/>
              </w:numPr>
              <w:tabs>
                <w:tab w:val="left" w:pos="568"/>
              </w:tabs>
              <w:spacing w:before="2"/>
              <w:ind w:right="1038" w:hanging="283"/>
            </w:pPr>
            <w:r w:rsidRPr="00FA1B1B">
              <w:t>Review and monitor treasury management arrangements.</w:t>
            </w:r>
          </w:p>
          <w:p w:rsidR="0028441C" w:rsidRPr="000240B2" w:rsidRDefault="0028441C" w:rsidP="0028441C">
            <w:pPr>
              <w:pStyle w:val="TableParagraph"/>
              <w:tabs>
                <w:tab w:val="left" w:pos="568"/>
              </w:tabs>
              <w:spacing w:before="2"/>
              <w:ind w:right="1038"/>
            </w:pPr>
          </w:p>
        </w:tc>
      </w:tr>
    </w:tbl>
    <w:p w:rsidR="0028441C" w:rsidRDefault="0028441C" w:rsidP="0028441C">
      <w:pPr>
        <w:rPr>
          <w:b/>
          <w:sz w:val="20"/>
        </w:rPr>
      </w:pPr>
    </w:p>
    <w:p w:rsidR="0028441C" w:rsidRDefault="0028441C" w:rsidP="0028441C">
      <w:pPr>
        <w:spacing w:before="2"/>
        <w:rPr>
          <w:b/>
          <w:sz w:val="26"/>
        </w:rPr>
      </w:pPr>
    </w:p>
    <w:p w:rsidR="0028441C" w:rsidRDefault="0028441C" w:rsidP="0028441C">
      <w:pPr>
        <w:spacing w:line="236" w:lineRule="exact"/>
        <w:sectPr w:rsidR="0028441C" w:rsidSect="0028441C">
          <w:footerReference w:type="default" r:id="rId7"/>
          <w:pgSz w:w="11910" w:h="16840"/>
          <w:pgMar w:top="1340" w:right="1220" w:bottom="280" w:left="12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28441C" w:rsidTr="00D7487F">
        <w:trPr>
          <w:trHeight w:val="3902"/>
        </w:trPr>
        <w:tc>
          <w:tcPr>
            <w:tcW w:w="2659" w:type="dxa"/>
            <w:tcBorders>
              <w:left w:val="single" w:sz="6" w:space="0" w:color="000000"/>
            </w:tcBorders>
            <w:shd w:val="clear" w:color="auto" w:fill="F1F1F1"/>
          </w:tcPr>
          <w:p w:rsidR="0028441C" w:rsidRDefault="0028441C" w:rsidP="00D7487F">
            <w:pPr>
              <w:pStyle w:val="TableParagraph"/>
              <w:ind w:left="0"/>
              <w:rPr>
                <w:rFonts w:ascii="Times New Roman"/>
              </w:rPr>
            </w:pPr>
          </w:p>
        </w:tc>
        <w:tc>
          <w:tcPr>
            <w:tcW w:w="6584" w:type="dxa"/>
          </w:tcPr>
          <w:p w:rsidR="0028441C" w:rsidRPr="00AF5BE6" w:rsidRDefault="0028441C" w:rsidP="00D7487F">
            <w:pPr>
              <w:pStyle w:val="TableParagraph"/>
              <w:spacing w:line="250" w:lineRule="exact"/>
              <w:ind w:left="0"/>
            </w:pPr>
          </w:p>
          <w:p w:rsidR="0028441C" w:rsidRPr="00AF5BE6" w:rsidRDefault="0028441C" w:rsidP="00D7487F">
            <w:pPr>
              <w:pStyle w:val="TableParagraph"/>
              <w:spacing w:before="115"/>
              <w:ind w:left="109"/>
              <w:rPr>
                <w:b/>
              </w:rPr>
            </w:pPr>
            <w:r w:rsidRPr="00AF5BE6">
              <w:rPr>
                <w:b/>
                <w:u w:val="thick"/>
              </w:rPr>
              <w:t>Internal Audit</w:t>
            </w:r>
          </w:p>
          <w:p w:rsidR="0028441C" w:rsidRPr="00AF5BE6" w:rsidRDefault="0028441C" w:rsidP="00D7487F">
            <w:pPr>
              <w:pStyle w:val="TableParagraph"/>
              <w:numPr>
                <w:ilvl w:val="0"/>
                <w:numId w:val="3"/>
              </w:numPr>
              <w:tabs>
                <w:tab w:val="left" w:pos="568"/>
              </w:tabs>
              <w:spacing w:before="124" w:line="252" w:lineRule="exact"/>
              <w:ind w:hanging="283"/>
            </w:pPr>
            <w:r w:rsidRPr="00AF5BE6">
              <w:t>Approve (but not direct) the Internal Audit Strategy and</w:t>
            </w:r>
            <w:r w:rsidRPr="00AF5BE6">
              <w:rPr>
                <w:spacing w:val="-14"/>
              </w:rPr>
              <w:t xml:space="preserve"> </w:t>
            </w:r>
            <w:r w:rsidRPr="00AF5BE6">
              <w:t>Plan.</w:t>
            </w:r>
          </w:p>
          <w:p w:rsidR="0028441C" w:rsidRPr="00AF5BE6" w:rsidRDefault="0028441C" w:rsidP="00D7487F">
            <w:pPr>
              <w:pStyle w:val="TableParagraph"/>
              <w:numPr>
                <w:ilvl w:val="0"/>
                <w:numId w:val="3"/>
              </w:numPr>
              <w:tabs>
                <w:tab w:val="left" w:pos="568"/>
              </w:tabs>
              <w:ind w:right="452" w:hanging="283"/>
            </w:pPr>
            <w:r w:rsidRPr="00AF5BE6">
              <w:t>Oversee the appointment and review the effectiveness of Internal</w:t>
            </w:r>
            <w:r w:rsidRPr="00AF5BE6">
              <w:rPr>
                <w:spacing w:val="-1"/>
              </w:rPr>
              <w:t xml:space="preserve"> </w:t>
            </w:r>
            <w:r w:rsidRPr="00AF5BE6">
              <w:t>Audit.</w:t>
            </w:r>
          </w:p>
          <w:p w:rsidR="0028441C" w:rsidRPr="00AF5BE6" w:rsidRDefault="0028441C" w:rsidP="00D7487F">
            <w:pPr>
              <w:pStyle w:val="TableParagraph"/>
              <w:numPr>
                <w:ilvl w:val="0"/>
                <w:numId w:val="3"/>
              </w:numPr>
              <w:tabs>
                <w:tab w:val="left" w:pos="568"/>
              </w:tabs>
              <w:ind w:right="565" w:hanging="283"/>
            </w:pPr>
            <w:r w:rsidRPr="00AF5BE6">
              <w:t>Monitor the progress of implementing</w:t>
            </w:r>
            <w:r w:rsidRPr="00AF5BE6">
              <w:rPr>
                <w:spacing w:val="-18"/>
              </w:rPr>
              <w:t xml:space="preserve"> </w:t>
            </w:r>
            <w:r w:rsidRPr="00AF5BE6">
              <w:t>recommendations from Internal Audit</w:t>
            </w:r>
            <w:r w:rsidRPr="00AF5BE6">
              <w:rPr>
                <w:spacing w:val="-3"/>
              </w:rPr>
              <w:t xml:space="preserve"> </w:t>
            </w:r>
            <w:r w:rsidRPr="00AF5BE6">
              <w:t>reports.</w:t>
            </w:r>
          </w:p>
          <w:p w:rsidR="0028441C" w:rsidRPr="00FA1B1B" w:rsidRDefault="0028441C" w:rsidP="00D7487F">
            <w:pPr>
              <w:pStyle w:val="TableParagraph"/>
              <w:numPr>
                <w:ilvl w:val="0"/>
                <w:numId w:val="3"/>
              </w:numPr>
              <w:tabs>
                <w:tab w:val="left" w:pos="568"/>
              </w:tabs>
              <w:spacing w:line="251" w:lineRule="exact"/>
            </w:pPr>
            <w:r w:rsidRPr="00FA1B1B">
              <w:t>To consider any impairments to independence or objectivity arising from additional roles or responsibilities outside of internal auditing of the head of internal audit.</w:t>
            </w:r>
          </w:p>
          <w:p w:rsidR="0028441C" w:rsidRPr="00FA1B1B" w:rsidRDefault="0028441C" w:rsidP="00D7487F">
            <w:pPr>
              <w:pStyle w:val="TableParagraph"/>
              <w:numPr>
                <w:ilvl w:val="0"/>
                <w:numId w:val="3"/>
              </w:numPr>
              <w:tabs>
                <w:tab w:val="left" w:pos="568"/>
              </w:tabs>
              <w:spacing w:line="251" w:lineRule="exact"/>
            </w:pPr>
            <w:r w:rsidRPr="00FA1B1B">
              <w:t>Consider the Internal Audit’s statement ensuring it complies with the Public Sector Internal Audit Standards (PSIAS)</w:t>
            </w:r>
          </w:p>
          <w:p w:rsidR="0028441C" w:rsidRPr="00FA1B1B" w:rsidRDefault="0028441C" w:rsidP="00D7487F">
            <w:pPr>
              <w:pStyle w:val="TableParagraph"/>
              <w:numPr>
                <w:ilvl w:val="0"/>
                <w:numId w:val="3"/>
              </w:numPr>
              <w:tabs>
                <w:tab w:val="left" w:pos="568"/>
              </w:tabs>
              <w:spacing w:line="251" w:lineRule="exact"/>
            </w:pPr>
            <w:r w:rsidRPr="00FA1B1B">
              <w:t>Consider a report on the effectiveness of internal audit to support the AGS.</w:t>
            </w:r>
          </w:p>
          <w:p w:rsidR="0028441C" w:rsidRPr="00AF5BE6" w:rsidRDefault="0028441C" w:rsidP="00D7487F">
            <w:pPr>
              <w:pStyle w:val="TableParagraph"/>
              <w:tabs>
                <w:tab w:val="left" w:pos="568"/>
              </w:tabs>
              <w:spacing w:line="251" w:lineRule="exact"/>
            </w:pPr>
          </w:p>
        </w:tc>
      </w:tr>
      <w:tr w:rsidR="0028441C" w:rsidTr="00D7487F">
        <w:trPr>
          <w:trHeight w:val="3902"/>
        </w:trPr>
        <w:tc>
          <w:tcPr>
            <w:tcW w:w="2659" w:type="dxa"/>
            <w:tcBorders>
              <w:left w:val="single" w:sz="6" w:space="0" w:color="000000"/>
            </w:tcBorders>
            <w:shd w:val="clear" w:color="auto" w:fill="F1F1F1"/>
          </w:tcPr>
          <w:p w:rsidR="0028441C" w:rsidRDefault="0028441C" w:rsidP="00D7487F">
            <w:pPr>
              <w:pStyle w:val="TableParagraph"/>
              <w:ind w:left="0"/>
              <w:rPr>
                <w:rFonts w:ascii="Times New Roman"/>
              </w:rPr>
            </w:pPr>
          </w:p>
        </w:tc>
        <w:tc>
          <w:tcPr>
            <w:tcW w:w="6584" w:type="dxa"/>
          </w:tcPr>
          <w:p w:rsidR="0028441C" w:rsidRPr="00AF5BE6" w:rsidRDefault="0028441C" w:rsidP="00D7487F">
            <w:pPr>
              <w:pStyle w:val="TableParagraph"/>
              <w:spacing w:before="115"/>
              <w:ind w:left="109"/>
              <w:rPr>
                <w:b/>
                <w:u w:val="thick"/>
              </w:rPr>
            </w:pPr>
            <w:r w:rsidRPr="00AF5BE6">
              <w:rPr>
                <w:b/>
                <w:u w:val="thick"/>
              </w:rPr>
              <w:t>External Audit</w:t>
            </w:r>
          </w:p>
          <w:p w:rsidR="0028441C" w:rsidRPr="00AF5BE6" w:rsidRDefault="0028441C" w:rsidP="00D7487F">
            <w:pPr>
              <w:pStyle w:val="TableParagraph"/>
              <w:spacing w:before="115"/>
              <w:ind w:left="109"/>
              <w:rPr>
                <w:b/>
                <w:u w:val="thick"/>
              </w:rPr>
            </w:pPr>
          </w:p>
          <w:p w:rsidR="0028441C" w:rsidRPr="00AF5BE6" w:rsidRDefault="0028441C" w:rsidP="00D7487F">
            <w:pPr>
              <w:pStyle w:val="TableParagraph"/>
              <w:numPr>
                <w:ilvl w:val="0"/>
                <w:numId w:val="3"/>
              </w:numPr>
              <w:tabs>
                <w:tab w:val="left" w:pos="568"/>
              </w:tabs>
              <w:ind w:right="782" w:hanging="283"/>
            </w:pPr>
            <w:r w:rsidRPr="00AF5BE6">
              <w:t>Receive and review reports from the external auditors including the annual audit report, audit opinion</w:t>
            </w:r>
            <w:r w:rsidRPr="00AF5BE6">
              <w:rPr>
                <w:spacing w:val="-10"/>
              </w:rPr>
              <w:t xml:space="preserve"> </w:t>
            </w:r>
            <w:r w:rsidRPr="00AF5BE6">
              <w:t>etc.</w:t>
            </w:r>
          </w:p>
          <w:p w:rsidR="0028441C" w:rsidRPr="00AF5BE6" w:rsidRDefault="0028441C" w:rsidP="00D7487F">
            <w:pPr>
              <w:pStyle w:val="TableParagraph"/>
              <w:numPr>
                <w:ilvl w:val="0"/>
                <w:numId w:val="3"/>
              </w:numPr>
              <w:tabs>
                <w:tab w:val="left" w:pos="568"/>
              </w:tabs>
              <w:spacing w:before="1"/>
              <w:ind w:right="484" w:hanging="283"/>
            </w:pPr>
            <w:r w:rsidRPr="00AF5BE6">
              <w:t>Consider and comment upon any proposals affecting the provision of the external audit</w:t>
            </w:r>
            <w:r w:rsidRPr="00AF5BE6">
              <w:rPr>
                <w:spacing w:val="-3"/>
              </w:rPr>
              <w:t xml:space="preserve"> </w:t>
            </w:r>
            <w:r w:rsidRPr="00AF5BE6">
              <w:t>service.</w:t>
            </w:r>
          </w:p>
          <w:p w:rsidR="0028441C" w:rsidRPr="00AF5BE6" w:rsidRDefault="0028441C" w:rsidP="00D7487F">
            <w:pPr>
              <w:pStyle w:val="TableParagraph"/>
              <w:numPr>
                <w:ilvl w:val="0"/>
                <w:numId w:val="3"/>
              </w:numPr>
              <w:tabs>
                <w:tab w:val="left" w:pos="568"/>
              </w:tabs>
              <w:spacing w:line="251" w:lineRule="exact"/>
              <w:ind w:hanging="283"/>
            </w:pPr>
            <w:r w:rsidRPr="00AF5BE6">
              <w:t>Consider the level of fees charged by external</w:t>
            </w:r>
            <w:r w:rsidRPr="00AF5BE6">
              <w:rPr>
                <w:spacing w:val="-10"/>
              </w:rPr>
              <w:t xml:space="preserve"> </w:t>
            </w:r>
            <w:r w:rsidRPr="00AF5BE6">
              <w:t>audit and whether it gives satisfactory value for money.</w:t>
            </w:r>
          </w:p>
          <w:p w:rsidR="0028441C" w:rsidRPr="00AF5BE6" w:rsidRDefault="0028441C" w:rsidP="00D7487F">
            <w:pPr>
              <w:pStyle w:val="TableParagraph"/>
              <w:numPr>
                <w:ilvl w:val="0"/>
                <w:numId w:val="3"/>
              </w:numPr>
              <w:spacing w:before="115"/>
              <w:rPr>
                <w:b/>
              </w:rPr>
            </w:pPr>
            <w:r w:rsidRPr="00FA1B1B">
              <w:t>Advise and recommend on the effectiveness of relationships between external and internal audit</w:t>
            </w:r>
          </w:p>
        </w:tc>
      </w:tr>
      <w:tr w:rsidR="0028441C" w:rsidTr="00D7487F">
        <w:trPr>
          <w:trHeight w:val="5047"/>
        </w:trPr>
        <w:tc>
          <w:tcPr>
            <w:tcW w:w="2659" w:type="dxa"/>
            <w:tcBorders>
              <w:left w:val="single" w:sz="6" w:space="0" w:color="000000"/>
            </w:tcBorders>
            <w:shd w:val="clear" w:color="auto" w:fill="F1F1F1"/>
          </w:tcPr>
          <w:p w:rsidR="0028441C" w:rsidRDefault="0028441C" w:rsidP="00D7487F">
            <w:pPr>
              <w:pStyle w:val="TableParagraph"/>
              <w:spacing w:line="271" w:lineRule="exact"/>
              <w:ind w:left="105"/>
              <w:rPr>
                <w:b/>
                <w:sz w:val="24"/>
              </w:rPr>
            </w:pPr>
            <w:r>
              <w:rPr>
                <w:b/>
                <w:sz w:val="24"/>
              </w:rPr>
              <w:t>Deliverables:</w:t>
            </w:r>
          </w:p>
        </w:tc>
        <w:tc>
          <w:tcPr>
            <w:tcW w:w="6584" w:type="dxa"/>
          </w:tcPr>
          <w:p w:rsidR="0028441C" w:rsidRPr="00AF5BE6" w:rsidRDefault="0028441C" w:rsidP="00D7487F">
            <w:pPr>
              <w:pStyle w:val="TableParagraph"/>
              <w:spacing w:line="250" w:lineRule="exact"/>
              <w:ind w:left="109"/>
            </w:pPr>
            <w:r w:rsidRPr="00AF5BE6">
              <w:t>The Joint Audit Committee will:</w:t>
            </w:r>
          </w:p>
          <w:p w:rsidR="0028441C" w:rsidRPr="00AF5BE6" w:rsidRDefault="0028441C" w:rsidP="00D7487F">
            <w:pPr>
              <w:pStyle w:val="TableParagraph"/>
              <w:numPr>
                <w:ilvl w:val="0"/>
                <w:numId w:val="4"/>
              </w:numPr>
              <w:tabs>
                <w:tab w:val="left" w:pos="568"/>
              </w:tabs>
              <w:ind w:right="537" w:hanging="283"/>
            </w:pPr>
            <w:r w:rsidRPr="00AF5BE6">
              <w:t xml:space="preserve">Review its performance against its </w:t>
            </w:r>
            <w:r>
              <w:t xml:space="preserve">Terms of Reference </w:t>
            </w:r>
            <w:r w:rsidRPr="00AF5BE6">
              <w:t>on an annual basis and report the results of this review to</w:t>
            </w:r>
            <w:r>
              <w:t xml:space="preserve"> the PCC and the CC</w:t>
            </w:r>
            <w:r w:rsidRPr="00AF5BE6">
              <w:t>.</w:t>
            </w:r>
          </w:p>
          <w:p w:rsidR="0028441C" w:rsidRPr="00AF5BE6" w:rsidRDefault="0028441C" w:rsidP="00D7487F">
            <w:pPr>
              <w:pStyle w:val="TableParagraph"/>
              <w:numPr>
                <w:ilvl w:val="0"/>
                <w:numId w:val="2"/>
              </w:numPr>
              <w:tabs>
                <w:tab w:val="left" w:pos="568"/>
              </w:tabs>
              <w:ind w:right="571" w:hanging="283"/>
            </w:pPr>
            <w:r w:rsidRPr="00AF5BE6">
              <w:t>Recommend approval of the Internal Audit Strategy and Plan.</w:t>
            </w:r>
          </w:p>
          <w:p w:rsidR="0028441C" w:rsidRPr="00AF5BE6" w:rsidRDefault="0028441C" w:rsidP="00D7487F">
            <w:pPr>
              <w:pStyle w:val="TableParagraph"/>
              <w:numPr>
                <w:ilvl w:val="0"/>
                <w:numId w:val="2"/>
              </w:numPr>
              <w:tabs>
                <w:tab w:val="left" w:pos="568"/>
              </w:tabs>
              <w:spacing w:before="1"/>
              <w:ind w:right="264" w:hanging="283"/>
            </w:pPr>
            <w:r w:rsidRPr="00AF5BE6">
              <w:t>Provide independent assurance in relation to the adequacy of the risk management framework and the associated control</w:t>
            </w:r>
            <w:r w:rsidRPr="00AF5BE6">
              <w:rPr>
                <w:spacing w:val="-2"/>
              </w:rPr>
              <w:t xml:space="preserve"> </w:t>
            </w:r>
            <w:r w:rsidRPr="00AF5BE6">
              <w:t>environment.</w:t>
            </w:r>
          </w:p>
          <w:p w:rsidR="0028441C" w:rsidRPr="00AF5BE6" w:rsidRDefault="0028441C" w:rsidP="00D7487F">
            <w:pPr>
              <w:pStyle w:val="TableParagraph"/>
              <w:numPr>
                <w:ilvl w:val="0"/>
                <w:numId w:val="2"/>
              </w:numPr>
              <w:tabs>
                <w:tab w:val="left" w:pos="568"/>
              </w:tabs>
              <w:ind w:right="304" w:hanging="283"/>
            </w:pPr>
            <w:r w:rsidRPr="00AF5BE6">
              <w:t>Provide independent scrutiny of Force and OPCC financial performance.</w:t>
            </w:r>
          </w:p>
          <w:p w:rsidR="0028441C" w:rsidRPr="00AF5BE6" w:rsidRDefault="0028441C" w:rsidP="00D7487F">
            <w:pPr>
              <w:pStyle w:val="TableParagraph"/>
              <w:numPr>
                <w:ilvl w:val="0"/>
                <w:numId w:val="2"/>
              </w:numPr>
              <w:tabs>
                <w:tab w:val="left" w:pos="568"/>
              </w:tabs>
              <w:ind w:right="575" w:hanging="283"/>
            </w:pPr>
            <w:r w:rsidRPr="00AF5BE6">
              <w:t>Oversee the preparation and publication of the</w:t>
            </w:r>
            <w:r w:rsidRPr="00AF5BE6">
              <w:rPr>
                <w:spacing w:val="-17"/>
              </w:rPr>
              <w:t xml:space="preserve"> </w:t>
            </w:r>
            <w:r w:rsidRPr="00AF5BE6">
              <w:t>statutory accounts.</w:t>
            </w:r>
          </w:p>
          <w:p w:rsidR="0028441C" w:rsidRPr="00AF5BE6" w:rsidRDefault="0028441C" w:rsidP="00D7487F">
            <w:pPr>
              <w:pStyle w:val="TableParagraph"/>
              <w:numPr>
                <w:ilvl w:val="0"/>
                <w:numId w:val="2"/>
              </w:numPr>
              <w:tabs>
                <w:tab w:val="left" w:pos="568"/>
              </w:tabs>
              <w:ind w:right="475" w:hanging="283"/>
            </w:pPr>
            <w:r w:rsidRPr="00AF5BE6">
              <w:t>Complete an Annual Report, to sit in conjunction with the PCC’s and CC’s Annual Governance Statement on the performance of the Joint Audit</w:t>
            </w:r>
            <w:r w:rsidRPr="00AF5BE6">
              <w:rPr>
                <w:spacing w:val="-4"/>
              </w:rPr>
              <w:t xml:space="preserve"> </w:t>
            </w:r>
            <w:r w:rsidRPr="00AF5BE6">
              <w:t>Committee.</w:t>
            </w:r>
          </w:p>
          <w:p w:rsidR="0028441C" w:rsidRPr="00AF5BE6" w:rsidRDefault="0028441C" w:rsidP="00D7487F">
            <w:pPr>
              <w:pStyle w:val="TableParagraph"/>
              <w:numPr>
                <w:ilvl w:val="0"/>
                <w:numId w:val="2"/>
              </w:numPr>
              <w:tabs>
                <w:tab w:val="left" w:pos="568"/>
              </w:tabs>
              <w:ind w:right="195" w:hanging="283"/>
            </w:pPr>
            <w:r w:rsidRPr="00AF5BE6">
              <w:t>Consider any other matter that either Corporations Sole ask the committee to comment and advise</w:t>
            </w:r>
            <w:r w:rsidRPr="00AF5BE6">
              <w:rPr>
                <w:spacing w:val="-7"/>
              </w:rPr>
              <w:t xml:space="preserve"> </w:t>
            </w:r>
            <w:r w:rsidRPr="00AF5BE6">
              <w:t>upon.</w:t>
            </w:r>
          </w:p>
        </w:tc>
      </w:tr>
    </w:tbl>
    <w:p w:rsidR="0028441C" w:rsidRDefault="0028441C" w:rsidP="0028441C">
      <w:pPr>
        <w:rPr>
          <w:b/>
          <w:sz w:val="20"/>
        </w:rPr>
      </w:pPr>
    </w:p>
    <w:p w:rsidR="0028441C" w:rsidRDefault="0028441C" w:rsidP="0028441C">
      <w:pPr>
        <w:spacing w:before="10"/>
        <w:rPr>
          <w:b/>
          <w:sz w:val="16"/>
        </w:rPr>
      </w:pPr>
    </w:p>
    <w:p w:rsidR="0028441C" w:rsidRDefault="0028441C" w:rsidP="0028441C">
      <w:pPr>
        <w:spacing w:before="10"/>
        <w:rPr>
          <w:b/>
          <w:sz w:val="16"/>
        </w:rPr>
      </w:pPr>
    </w:p>
    <w:p w:rsidR="0028441C" w:rsidRDefault="0028441C" w:rsidP="0028441C">
      <w:pPr>
        <w:spacing w:before="10"/>
        <w:rPr>
          <w:b/>
          <w:sz w:val="16"/>
        </w:rPr>
      </w:pPr>
    </w:p>
    <w:p w:rsidR="0028441C" w:rsidRDefault="0028441C" w:rsidP="0028441C">
      <w:pPr>
        <w:spacing w:before="10"/>
        <w:rPr>
          <w:b/>
          <w:sz w:val="16"/>
        </w:rPr>
      </w:pPr>
    </w:p>
    <w:p w:rsidR="0028441C" w:rsidRDefault="0028441C" w:rsidP="0028441C">
      <w:pPr>
        <w:spacing w:before="10"/>
        <w:rPr>
          <w:b/>
          <w:sz w:val="16"/>
        </w:rPr>
      </w:pPr>
    </w:p>
    <w:p w:rsidR="0028441C" w:rsidRDefault="0028441C" w:rsidP="0028441C">
      <w:pPr>
        <w:spacing w:before="10"/>
        <w:rPr>
          <w:b/>
          <w:sz w:val="16"/>
        </w:rPr>
      </w:pPr>
    </w:p>
    <w:p w:rsidR="0028441C" w:rsidRDefault="0028441C" w:rsidP="0028441C">
      <w:pPr>
        <w:spacing w:before="10"/>
        <w:rPr>
          <w:b/>
          <w:sz w:val="16"/>
        </w:rPr>
      </w:pPr>
    </w:p>
    <w:p w:rsidR="0028441C" w:rsidRDefault="0028441C" w:rsidP="0028441C">
      <w:pPr>
        <w:spacing w:before="10"/>
        <w:rPr>
          <w:b/>
          <w:sz w:val="16"/>
        </w:rPr>
      </w:pPr>
    </w:p>
    <w:p w:rsidR="0028441C" w:rsidRDefault="0028441C" w:rsidP="0028441C">
      <w:pPr>
        <w:pStyle w:val="BodyText"/>
        <w:spacing w:before="92"/>
        <w:ind w:left="220"/>
      </w:pPr>
      <w:r>
        <w:t>Governance</w:t>
      </w:r>
    </w:p>
    <w:p w:rsidR="0028441C" w:rsidRDefault="0028441C" w:rsidP="0028441C">
      <w:pPr>
        <w:spacing w:after="1"/>
        <w:rPr>
          <w:b/>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28441C" w:rsidTr="00D7487F">
        <w:trPr>
          <w:trHeight w:val="1638"/>
        </w:trPr>
        <w:tc>
          <w:tcPr>
            <w:tcW w:w="2659" w:type="dxa"/>
            <w:tcBorders>
              <w:left w:val="single" w:sz="6" w:space="0" w:color="000000"/>
            </w:tcBorders>
            <w:shd w:val="clear" w:color="auto" w:fill="F1F1F1"/>
          </w:tcPr>
          <w:p w:rsidR="0028441C" w:rsidRDefault="0028441C" w:rsidP="00D7487F">
            <w:pPr>
              <w:pStyle w:val="TableParagraph"/>
              <w:spacing w:line="271" w:lineRule="exact"/>
              <w:ind w:left="105"/>
              <w:rPr>
                <w:b/>
                <w:sz w:val="24"/>
              </w:rPr>
            </w:pPr>
            <w:r>
              <w:rPr>
                <w:b/>
                <w:sz w:val="24"/>
              </w:rPr>
              <w:t>Chair:</w:t>
            </w:r>
          </w:p>
        </w:tc>
        <w:tc>
          <w:tcPr>
            <w:tcW w:w="6584" w:type="dxa"/>
          </w:tcPr>
          <w:p w:rsidR="0028441C" w:rsidRDefault="0028441C" w:rsidP="00D7487F">
            <w:pPr>
              <w:pStyle w:val="TableParagraph"/>
              <w:ind w:left="109" w:right="108"/>
            </w:pPr>
            <w:r>
              <w:t>The Chair of the Joint Audit Committee will be appointed from</w:t>
            </w:r>
            <w:r>
              <w:rPr>
                <w:spacing w:val="-22"/>
              </w:rPr>
              <w:t xml:space="preserve"> </w:t>
            </w:r>
            <w:r>
              <w:t xml:space="preserve">the membership of the Committee. The appointment of the Chair will take place every two years. The same person may be re-appointed as Chair during each election. </w:t>
            </w:r>
          </w:p>
        </w:tc>
      </w:tr>
      <w:tr w:rsidR="0028441C" w:rsidTr="00D7487F">
        <w:trPr>
          <w:trHeight w:val="1637"/>
        </w:trPr>
        <w:tc>
          <w:tcPr>
            <w:tcW w:w="2659" w:type="dxa"/>
            <w:tcBorders>
              <w:left w:val="single" w:sz="6" w:space="0" w:color="000000"/>
            </w:tcBorders>
            <w:shd w:val="clear" w:color="auto" w:fill="F1F1F1"/>
          </w:tcPr>
          <w:p w:rsidR="0028441C" w:rsidRDefault="0028441C" w:rsidP="00D7487F">
            <w:pPr>
              <w:pStyle w:val="TableParagraph"/>
              <w:spacing w:line="272" w:lineRule="exact"/>
              <w:ind w:left="105"/>
              <w:rPr>
                <w:b/>
                <w:sz w:val="24"/>
              </w:rPr>
            </w:pPr>
            <w:r>
              <w:rPr>
                <w:b/>
                <w:sz w:val="24"/>
              </w:rPr>
              <w:t>Frequency:</w:t>
            </w:r>
          </w:p>
        </w:tc>
        <w:tc>
          <w:tcPr>
            <w:tcW w:w="6584" w:type="dxa"/>
          </w:tcPr>
          <w:p w:rsidR="0028441C" w:rsidRDefault="0028441C" w:rsidP="00D7487F">
            <w:pPr>
              <w:pStyle w:val="TableParagraph"/>
              <w:ind w:left="109" w:right="106"/>
            </w:pPr>
            <w:r>
              <w:t>4 formal committee meetings and up to 2 workshops/seminars will be scheduled per annum. The Chair of the Joint Audit Committee may convene additional meetings as they deem necessary. The PCC and CC may ask the Joint Audit Committee to convene further meetings to discuss particular issues on which they want the Committee’s advice.</w:t>
            </w:r>
          </w:p>
        </w:tc>
      </w:tr>
      <w:tr w:rsidR="0028441C" w:rsidTr="00D7487F">
        <w:trPr>
          <w:trHeight w:val="395"/>
        </w:trPr>
        <w:tc>
          <w:tcPr>
            <w:tcW w:w="2659" w:type="dxa"/>
            <w:tcBorders>
              <w:left w:val="single" w:sz="6" w:space="0" w:color="000000"/>
            </w:tcBorders>
            <w:shd w:val="clear" w:color="auto" w:fill="F1F1F1"/>
          </w:tcPr>
          <w:p w:rsidR="0028441C" w:rsidRDefault="0028441C" w:rsidP="00D7487F">
            <w:pPr>
              <w:pStyle w:val="TableParagraph"/>
              <w:spacing w:line="271" w:lineRule="exact"/>
              <w:ind w:left="105"/>
              <w:rPr>
                <w:b/>
                <w:sz w:val="24"/>
              </w:rPr>
            </w:pPr>
            <w:r>
              <w:rPr>
                <w:b/>
                <w:sz w:val="24"/>
              </w:rPr>
              <w:t>Provides advice to:</w:t>
            </w:r>
          </w:p>
        </w:tc>
        <w:tc>
          <w:tcPr>
            <w:tcW w:w="6584" w:type="dxa"/>
          </w:tcPr>
          <w:p w:rsidR="0028441C" w:rsidRDefault="0028441C" w:rsidP="00D7487F">
            <w:pPr>
              <w:pStyle w:val="TableParagraph"/>
              <w:spacing w:line="250" w:lineRule="exact"/>
              <w:ind w:left="109"/>
            </w:pPr>
            <w:r>
              <w:t>Police and Crime Commissioner and Chief Constable</w:t>
            </w:r>
          </w:p>
        </w:tc>
      </w:tr>
      <w:tr w:rsidR="0028441C" w:rsidTr="00D7487F">
        <w:trPr>
          <w:trHeight w:val="5272"/>
        </w:trPr>
        <w:tc>
          <w:tcPr>
            <w:tcW w:w="2659" w:type="dxa"/>
            <w:tcBorders>
              <w:left w:val="single" w:sz="6" w:space="0" w:color="000000"/>
            </w:tcBorders>
            <w:shd w:val="clear" w:color="auto" w:fill="F1F1F1"/>
          </w:tcPr>
          <w:p w:rsidR="0028441C" w:rsidRDefault="0028441C" w:rsidP="00D7487F">
            <w:pPr>
              <w:pStyle w:val="TableParagraph"/>
              <w:spacing w:line="274" w:lineRule="exact"/>
              <w:ind w:left="105"/>
              <w:rPr>
                <w:b/>
                <w:sz w:val="24"/>
              </w:rPr>
            </w:pPr>
            <w:r>
              <w:rPr>
                <w:b/>
                <w:sz w:val="24"/>
              </w:rPr>
              <w:t xml:space="preserve">Membership </w:t>
            </w:r>
          </w:p>
        </w:tc>
        <w:tc>
          <w:tcPr>
            <w:tcW w:w="6584" w:type="dxa"/>
          </w:tcPr>
          <w:p w:rsidR="0028441C" w:rsidRDefault="0028441C" w:rsidP="00D7487F">
            <w:pPr>
              <w:pStyle w:val="TableParagraph"/>
              <w:spacing w:line="250" w:lineRule="exact"/>
              <w:ind w:left="109"/>
            </w:pPr>
            <w:r>
              <w:t>The Joint Audit Committee will comprise of up to five people, independent of Dyfed-Powys Police Force, the Office of the Police and Crime Commissioner and the Police and Crime Panel.</w:t>
            </w:r>
          </w:p>
          <w:p w:rsidR="0028441C" w:rsidRDefault="0028441C" w:rsidP="00D7487F">
            <w:pPr>
              <w:pStyle w:val="TableParagraph"/>
              <w:spacing w:before="122"/>
              <w:ind w:left="109" w:right="172"/>
            </w:pPr>
            <w:r>
              <w:t>Members will be appointed jointly by the PCC and CC. Members will serve on the Committee for a four year term. Care should be taken to avoid all members terms ending at the same time to ensure continuity. No individual will serve on the Committee for more than eight years in total.</w:t>
            </w:r>
          </w:p>
          <w:p w:rsidR="0028441C" w:rsidRDefault="0028441C" w:rsidP="00D7487F">
            <w:pPr>
              <w:pStyle w:val="TableParagraph"/>
              <w:spacing w:before="119"/>
              <w:ind w:left="109"/>
            </w:pPr>
            <w:r>
              <w:t>To enhance the credence and standing of the decisions that the Joint Audit Committee makes a quorum of three members will be set.</w:t>
            </w:r>
          </w:p>
          <w:p w:rsidR="0028441C" w:rsidRDefault="0028441C" w:rsidP="00D7487F">
            <w:pPr>
              <w:pStyle w:val="TableParagraph"/>
              <w:spacing w:before="120"/>
              <w:ind w:left="109" w:right="342"/>
            </w:pPr>
            <w:r>
              <w:t>Co-option may be beneficial for the injection of an independent view where specialist discussion is required. Any co-opted member will not have voting rights.</w:t>
            </w:r>
          </w:p>
          <w:p w:rsidR="0028441C" w:rsidRDefault="0028441C" w:rsidP="00D7487F">
            <w:pPr>
              <w:pStyle w:val="TableParagraph"/>
              <w:spacing w:before="119"/>
              <w:ind w:left="109" w:right="220"/>
            </w:pPr>
            <w:r>
              <w:t>The PCC and CC should attend or be appropriately represented at formal meetings of the Joint Audit Committee.</w:t>
            </w:r>
          </w:p>
          <w:p w:rsidR="0028441C" w:rsidRDefault="0028441C" w:rsidP="00D7487F">
            <w:pPr>
              <w:pStyle w:val="TableParagraph"/>
              <w:spacing w:before="121"/>
              <w:ind w:left="109"/>
            </w:pPr>
            <w:r>
              <w:t>Also in attendance will be:</w:t>
            </w:r>
          </w:p>
          <w:p w:rsidR="0028441C" w:rsidRDefault="0028441C" w:rsidP="00D7487F">
            <w:pPr>
              <w:pStyle w:val="TableParagraph"/>
              <w:numPr>
                <w:ilvl w:val="0"/>
                <w:numId w:val="1"/>
              </w:numPr>
              <w:tabs>
                <w:tab w:val="left" w:pos="568"/>
              </w:tabs>
              <w:spacing w:before="119"/>
              <w:ind w:hanging="283"/>
            </w:pPr>
            <w:r>
              <w:t>Chief of Staff,</w:t>
            </w:r>
            <w:r>
              <w:rPr>
                <w:spacing w:val="-1"/>
              </w:rPr>
              <w:t xml:space="preserve"> </w:t>
            </w:r>
            <w:r>
              <w:t>OPCC</w:t>
            </w:r>
          </w:p>
          <w:p w:rsidR="0028441C" w:rsidRDefault="0028441C" w:rsidP="00D7487F">
            <w:pPr>
              <w:pStyle w:val="TableParagraph"/>
              <w:numPr>
                <w:ilvl w:val="0"/>
                <w:numId w:val="1"/>
              </w:numPr>
              <w:tabs>
                <w:tab w:val="left" w:pos="568"/>
              </w:tabs>
              <w:spacing w:before="2" w:line="252" w:lineRule="exact"/>
              <w:ind w:hanging="283"/>
            </w:pPr>
            <w:r>
              <w:t>Chief Finance Officer,</w:t>
            </w:r>
            <w:r>
              <w:rPr>
                <w:spacing w:val="-5"/>
              </w:rPr>
              <w:t xml:space="preserve"> </w:t>
            </w:r>
            <w:r>
              <w:t>OPCC</w:t>
            </w:r>
          </w:p>
          <w:p w:rsidR="0028441C" w:rsidRDefault="0028441C" w:rsidP="00D7487F">
            <w:pPr>
              <w:pStyle w:val="TableParagraph"/>
              <w:numPr>
                <w:ilvl w:val="0"/>
                <w:numId w:val="1"/>
              </w:numPr>
              <w:tabs>
                <w:tab w:val="left" w:pos="568"/>
              </w:tabs>
              <w:spacing w:line="252" w:lineRule="exact"/>
              <w:ind w:hanging="283"/>
            </w:pPr>
            <w:r>
              <w:t>Director of Finance,</w:t>
            </w:r>
            <w:r>
              <w:rPr>
                <w:spacing w:val="-1"/>
              </w:rPr>
              <w:t xml:space="preserve"> </w:t>
            </w:r>
            <w:r>
              <w:t>DPP</w:t>
            </w:r>
          </w:p>
          <w:p w:rsidR="0028441C" w:rsidRDefault="0028441C" w:rsidP="00D7487F">
            <w:pPr>
              <w:pStyle w:val="TableParagraph"/>
              <w:numPr>
                <w:ilvl w:val="0"/>
                <w:numId w:val="1"/>
              </w:numPr>
              <w:tabs>
                <w:tab w:val="left" w:pos="568"/>
              </w:tabs>
              <w:spacing w:before="1" w:line="252" w:lineRule="exact"/>
              <w:ind w:hanging="283"/>
            </w:pPr>
            <w:r>
              <w:t>Internal</w:t>
            </w:r>
            <w:r>
              <w:rPr>
                <w:spacing w:val="-1"/>
              </w:rPr>
              <w:t xml:space="preserve"> </w:t>
            </w:r>
            <w:r>
              <w:t>Audit</w:t>
            </w:r>
          </w:p>
          <w:p w:rsidR="0028441C" w:rsidRDefault="0028441C" w:rsidP="00D7487F">
            <w:pPr>
              <w:pStyle w:val="TableParagraph"/>
              <w:numPr>
                <w:ilvl w:val="0"/>
                <w:numId w:val="1"/>
              </w:numPr>
              <w:tabs>
                <w:tab w:val="left" w:pos="568"/>
              </w:tabs>
              <w:spacing w:line="252" w:lineRule="exact"/>
              <w:ind w:hanging="283"/>
            </w:pPr>
            <w:r>
              <w:t>External</w:t>
            </w:r>
            <w:r>
              <w:rPr>
                <w:spacing w:val="-2"/>
              </w:rPr>
              <w:t xml:space="preserve"> </w:t>
            </w:r>
            <w:r>
              <w:t>Audit</w:t>
            </w:r>
          </w:p>
          <w:p w:rsidR="0028441C" w:rsidRDefault="0028441C" w:rsidP="00D7487F">
            <w:pPr>
              <w:pStyle w:val="TableParagraph"/>
              <w:numPr>
                <w:ilvl w:val="0"/>
                <w:numId w:val="1"/>
              </w:numPr>
              <w:tabs>
                <w:tab w:val="left" w:pos="568"/>
              </w:tabs>
              <w:spacing w:line="252" w:lineRule="exact"/>
              <w:ind w:hanging="283"/>
            </w:pPr>
            <w:r>
              <w:t>Other officers of both the OPCC and Force when</w:t>
            </w:r>
            <w:r>
              <w:rPr>
                <w:spacing w:val="-13"/>
              </w:rPr>
              <w:t xml:space="preserve"> </w:t>
            </w:r>
            <w:r>
              <w:t>required</w:t>
            </w:r>
          </w:p>
          <w:p w:rsidR="0028441C" w:rsidRDefault="0028441C" w:rsidP="00D7487F">
            <w:pPr>
              <w:pStyle w:val="TableParagraph"/>
              <w:spacing w:before="4" w:line="252" w:lineRule="exact"/>
              <w:ind w:left="109" w:right="551"/>
            </w:pPr>
          </w:p>
          <w:p w:rsidR="0028441C" w:rsidRDefault="0028441C" w:rsidP="00D7487F">
            <w:pPr>
              <w:pStyle w:val="TableParagraph"/>
              <w:spacing w:before="4" w:line="252" w:lineRule="exact"/>
              <w:ind w:left="109" w:right="551"/>
            </w:pPr>
            <w:r>
              <w:t>Members of the committee may also sit as advisors on Force groups, for example the Corporate Governance Group, in support of their role.</w:t>
            </w:r>
          </w:p>
          <w:p w:rsidR="0028441C" w:rsidRDefault="0028441C" w:rsidP="00D7487F">
            <w:pPr>
              <w:pStyle w:val="TableParagraph"/>
              <w:spacing w:before="4" w:line="252" w:lineRule="exact"/>
              <w:ind w:left="109" w:right="551"/>
            </w:pPr>
          </w:p>
        </w:tc>
      </w:tr>
    </w:tbl>
    <w:p w:rsidR="0028441C" w:rsidRDefault="0028441C" w:rsidP="0028441C">
      <w:pPr>
        <w:spacing w:line="252" w:lineRule="exact"/>
        <w:sectPr w:rsidR="0028441C">
          <w:pgSz w:w="11910" w:h="16840"/>
          <w:pgMar w:top="1420" w:right="1220" w:bottom="280" w:left="122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28441C" w:rsidTr="00D7487F">
        <w:trPr>
          <w:trHeight w:val="4634"/>
        </w:trPr>
        <w:tc>
          <w:tcPr>
            <w:tcW w:w="2659" w:type="dxa"/>
            <w:tcBorders>
              <w:left w:val="single" w:sz="6" w:space="0" w:color="000000"/>
            </w:tcBorders>
            <w:shd w:val="clear" w:color="auto" w:fill="F1F1F1"/>
          </w:tcPr>
          <w:p w:rsidR="0028441C" w:rsidRDefault="0028441C" w:rsidP="00D7487F">
            <w:pPr>
              <w:pStyle w:val="TableParagraph"/>
              <w:spacing w:line="271" w:lineRule="exact"/>
              <w:ind w:left="105"/>
              <w:rPr>
                <w:b/>
                <w:sz w:val="24"/>
              </w:rPr>
            </w:pPr>
            <w:r>
              <w:rPr>
                <w:b/>
                <w:sz w:val="24"/>
              </w:rPr>
              <w:t>Arrangements</w:t>
            </w:r>
          </w:p>
        </w:tc>
        <w:tc>
          <w:tcPr>
            <w:tcW w:w="6584" w:type="dxa"/>
          </w:tcPr>
          <w:p w:rsidR="0028441C" w:rsidRDefault="0028441C" w:rsidP="00D7487F">
            <w:pPr>
              <w:pStyle w:val="TableParagraph"/>
              <w:spacing w:line="242" w:lineRule="auto"/>
              <w:ind w:left="109" w:right="759"/>
            </w:pPr>
            <w:r>
              <w:t>Administration to support the Joint Audit Committee will be provided by the OPCC.</w:t>
            </w:r>
          </w:p>
          <w:p w:rsidR="0028441C" w:rsidRDefault="0028441C" w:rsidP="00D7487F">
            <w:pPr>
              <w:pStyle w:val="TableParagraph"/>
              <w:spacing w:before="113"/>
              <w:ind w:left="109" w:right="587"/>
            </w:pPr>
            <w:r>
              <w:t>Papers will be provided to Members for their consideration 5 working days in advance of the meeting.</w:t>
            </w:r>
          </w:p>
          <w:p w:rsidR="0028441C" w:rsidRDefault="0028441C" w:rsidP="00D7487F">
            <w:pPr>
              <w:pStyle w:val="TableParagraph"/>
              <w:spacing w:before="120"/>
              <w:ind w:left="109" w:right="171"/>
            </w:pPr>
            <w:r>
              <w:t>The agenda, reports and minutes of formal meetings will be made available bilingually where possible on the OPCC website.</w:t>
            </w:r>
          </w:p>
          <w:p w:rsidR="0028441C" w:rsidRDefault="0028441C" w:rsidP="00D7487F">
            <w:pPr>
              <w:pStyle w:val="TableParagraph"/>
              <w:spacing w:before="121"/>
              <w:ind w:left="109" w:right="330"/>
            </w:pPr>
            <w:r>
              <w:t>Any decision made to hold an element of the meeting in closed session will be based on those principles outlined in the Local Government Act 1972.</w:t>
            </w:r>
          </w:p>
          <w:p w:rsidR="0028441C" w:rsidRDefault="0028441C" w:rsidP="00D7487F">
            <w:pPr>
              <w:pStyle w:val="TableParagraph"/>
              <w:spacing w:before="119"/>
              <w:ind w:left="109" w:right="367"/>
            </w:pPr>
            <w:r>
              <w:t>The Chair will meet in closed session with the PCC and CC on an annual basis, or as necessary.</w:t>
            </w:r>
          </w:p>
          <w:p w:rsidR="0028441C" w:rsidRDefault="0028441C" w:rsidP="00D7487F">
            <w:pPr>
              <w:pStyle w:val="TableParagraph"/>
              <w:spacing w:before="121"/>
              <w:ind w:left="109" w:right="539"/>
            </w:pPr>
            <w:r>
              <w:t>All Members will meet in closed session with the internal and external auditor at least annually.</w:t>
            </w:r>
          </w:p>
          <w:p w:rsidR="0028441C" w:rsidRDefault="0028441C" w:rsidP="00D7487F">
            <w:pPr>
              <w:pStyle w:val="TableParagraph"/>
              <w:spacing w:before="118"/>
              <w:ind w:left="109" w:right="416"/>
            </w:pPr>
            <w:r>
              <w:t>Appropriate and timely training will be provided to Members to ensure the necessary skills and knowledge.</w:t>
            </w:r>
          </w:p>
        </w:tc>
      </w:tr>
    </w:tbl>
    <w:p w:rsidR="0028441C" w:rsidRDefault="0028441C" w:rsidP="0028441C">
      <w:pPr>
        <w:pStyle w:val="BodyText"/>
        <w:spacing w:line="272" w:lineRule="exact"/>
        <w:ind w:left="220"/>
      </w:pPr>
      <w:r>
        <w:t>Version control</w:t>
      </w:r>
    </w:p>
    <w:p w:rsidR="0028441C" w:rsidRDefault="0028441C" w:rsidP="0028441C">
      <w:pPr>
        <w:spacing w:before="9"/>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6584"/>
      </w:tblGrid>
      <w:tr w:rsidR="0028441C" w:rsidTr="00D7487F">
        <w:trPr>
          <w:trHeight w:val="398"/>
        </w:trPr>
        <w:tc>
          <w:tcPr>
            <w:tcW w:w="2659" w:type="dxa"/>
            <w:tcBorders>
              <w:left w:val="single" w:sz="6" w:space="0" w:color="000000"/>
            </w:tcBorders>
            <w:shd w:val="clear" w:color="auto" w:fill="F1F1F1"/>
          </w:tcPr>
          <w:p w:rsidR="0028441C" w:rsidRDefault="0028441C" w:rsidP="00D7487F">
            <w:pPr>
              <w:pStyle w:val="TableParagraph"/>
              <w:spacing w:line="274" w:lineRule="exact"/>
              <w:ind w:left="105"/>
              <w:rPr>
                <w:b/>
                <w:sz w:val="24"/>
              </w:rPr>
            </w:pPr>
            <w:r>
              <w:rPr>
                <w:b/>
                <w:sz w:val="24"/>
              </w:rPr>
              <w:t>Author:</w:t>
            </w:r>
          </w:p>
        </w:tc>
        <w:tc>
          <w:tcPr>
            <w:tcW w:w="6584" w:type="dxa"/>
          </w:tcPr>
          <w:p w:rsidR="0028441C" w:rsidRDefault="0028441C" w:rsidP="00D7487F">
            <w:pPr>
              <w:pStyle w:val="TableParagraph"/>
              <w:spacing w:line="274" w:lineRule="exact"/>
              <w:ind w:left="109"/>
              <w:rPr>
                <w:sz w:val="24"/>
              </w:rPr>
            </w:pPr>
            <w:r>
              <w:rPr>
                <w:sz w:val="24"/>
              </w:rPr>
              <w:t>Donna Price</w:t>
            </w:r>
          </w:p>
        </w:tc>
      </w:tr>
      <w:tr w:rsidR="0028441C" w:rsidTr="00D7487F">
        <w:trPr>
          <w:trHeight w:val="395"/>
        </w:trPr>
        <w:tc>
          <w:tcPr>
            <w:tcW w:w="2659" w:type="dxa"/>
            <w:tcBorders>
              <w:left w:val="single" w:sz="6" w:space="0" w:color="000000"/>
            </w:tcBorders>
            <w:shd w:val="clear" w:color="auto" w:fill="F1F1F1"/>
          </w:tcPr>
          <w:p w:rsidR="0028441C" w:rsidRDefault="0028441C" w:rsidP="00D7487F">
            <w:pPr>
              <w:pStyle w:val="TableParagraph"/>
              <w:spacing w:line="271" w:lineRule="exact"/>
              <w:ind w:left="105"/>
              <w:rPr>
                <w:b/>
                <w:sz w:val="24"/>
              </w:rPr>
            </w:pPr>
            <w:r>
              <w:rPr>
                <w:b/>
                <w:sz w:val="24"/>
              </w:rPr>
              <w:t>Date of approval:</w:t>
            </w:r>
          </w:p>
        </w:tc>
        <w:tc>
          <w:tcPr>
            <w:tcW w:w="6584" w:type="dxa"/>
          </w:tcPr>
          <w:p w:rsidR="0028441C" w:rsidRDefault="0028441C" w:rsidP="00D7487F">
            <w:pPr>
              <w:pStyle w:val="TableParagraph"/>
              <w:spacing w:line="271" w:lineRule="exact"/>
              <w:ind w:left="109"/>
              <w:rPr>
                <w:sz w:val="24"/>
              </w:rPr>
            </w:pPr>
            <w:r>
              <w:rPr>
                <w:sz w:val="24"/>
              </w:rPr>
              <w:t>July 2019</w:t>
            </w:r>
          </w:p>
        </w:tc>
      </w:tr>
      <w:tr w:rsidR="0028441C" w:rsidTr="00D7487F">
        <w:trPr>
          <w:trHeight w:val="395"/>
        </w:trPr>
        <w:tc>
          <w:tcPr>
            <w:tcW w:w="2659" w:type="dxa"/>
            <w:tcBorders>
              <w:left w:val="single" w:sz="6" w:space="0" w:color="000000"/>
            </w:tcBorders>
            <w:shd w:val="clear" w:color="auto" w:fill="F1F1F1"/>
          </w:tcPr>
          <w:p w:rsidR="0028441C" w:rsidRDefault="0028441C" w:rsidP="00D7487F">
            <w:pPr>
              <w:pStyle w:val="TableParagraph"/>
              <w:spacing w:line="271" w:lineRule="exact"/>
              <w:ind w:left="105"/>
              <w:rPr>
                <w:b/>
                <w:sz w:val="24"/>
              </w:rPr>
            </w:pPr>
            <w:r>
              <w:rPr>
                <w:b/>
                <w:sz w:val="24"/>
              </w:rPr>
              <w:t>Date for review:</w:t>
            </w:r>
          </w:p>
        </w:tc>
        <w:tc>
          <w:tcPr>
            <w:tcW w:w="6584" w:type="dxa"/>
          </w:tcPr>
          <w:p w:rsidR="0028441C" w:rsidRDefault="0028441C" w:rsidP="00D7487F">
            <w:pPr>
              <w:pStyle w:val="TableParagraph"/>
              <w:spacing w:line="271" w:lineRule="exact"/>
              <w:ind w:left="109"/>
              <w:rPr>
                <w:sz w:val="24"/>
              </w:rPr>
            </w:pPr>
            <w:r>
              <w:rPr>
                <w:sz w:val="24"/>
              </w:rPr>
              <w:t>July 2020</w:t>
            </w:r>
          </w:p>
        </w:tc>
      </w:tr>
      <w:tr w:rsidR="0028441C" w:rsidTr="00D7487F">
        <w:trPr>
          <w:trHeight w:val="395"/>
        </w:trPr>
        <w:tc>
          <w:tcPr>
            <w:tcW w:w="2659" w:type="dxa"/>
            <w:tcBorders>
              <w:left w:val="single" w:sz="6" w:space="0" w:color="000000"/>
            </w:tcBorders>
            <w:shd w:val="clear" w:color="auto" w:fill="F1F1F1"/>
          </w:tcPr>
          <w:p w:rsidR="0028441C" w:rsidRDefault="0028441C" w:rsidP="00D7487F">
            <w:pPr>
              <w:pStyle w:val="TableParagraph"/>
              <w:spacing w:line="271" w:lineRule="exact"/>
              <w:ind w:left="105"/>
              <w:rPr>
                <w:b/>
                <w:sz w:val="24"/>
              </w:rPr>
            </w:pPr>
            <w:r>
              <w:rPr>
                <w:b/>
                <w:sz w:val="24"/>
              </w:rPr>
              <w:t>Version number:</w:t>
            </w:r>
          </w:p>
        </w:tc>
        <w:tc>
          <w:tcPr>
            <w:tcW w:w="6584" w:type="dxa"/>
          </w:tcPr>
          <w:p w:rsidR="0028441C" w:rsidRDefault="0028441C" w:rsidP="00D7487F">
            <w:pPr>
              <w:pStyle w:val="TableParagraph"/>
              <w:spacing w:line="271" w:lineRule="exact"/>
              <w:ind w:left="109"/>
              <w:rPr>
                <w:sz w:val="24"/>
              </w:rPr>
            </w:pPr>
            <w:r>
              <w:rPr>
                <w:sz w:val="24"/>
              </w:rPr>
              <w:t>02-2019</w:t>
            </w:r>
          </w:p>
        </w:tc>
      </w:tr>
    </w:tbl>
    <w:p w:rsidR="0028441C" w:rsidRDefault="0028441C" w:rsidP="0028441C"/>
    <w:p w:rsidR="002901BE" w:rsidRDefault="002901BE"/>
    <w:sectPr w:rsidR="002901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35" w:rsidRDefault="007D0835" w:rsidP="0028441C">
      <w:r>
        <w:separator/>
      </w:r>
    </w:p>
  </w:endnote>
  <w:endnote w:type="continuationSeparator" w:id="0">
    <w:p w:rsidR="007D0835" w:rsidRDefault="007D0835" w:rsidP="0028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171934"/>
      <w:docPartObj>
        <w:docPartGallery w:val="Page Numbers (Bottom of Page)"/>
        <w:docPartUnique/>
      </w:docPartObj>
    </w:sdtPr>
    <w:sdtEndPr>
      <w:rPr>
        <w:noProof/>
      </w:rPr>
    </w:sdtEndPr>
    <w:sdtContent>
      <w:p w:rsidR="0028441C" w:rsidRDefault="0028441C">
        <w:pPr>
          <w:pStyle w:val="Footer"/>
          <w:jc w:val="center"/>
        </w:pPr>
        <w:r>
          <w:fldChar w:fldCharType="begin"/>
        </w:r>
        <w:r>
          <w:instrText xml:space="preserve"> PAGE   \* MERGEFORMAT </w:instrText>
        </w:r>
        <w:r>
          <w:fldChar w:fldCharType="separate"/>
        </w:r>
        <w:r w:rsidR="007D0835">
          <w:rPr>
            <w:noProof/>
          </w:rPr>
          <w:t>1</w:t>
        </w:r>
        <w:r>
          <w:rPr>
            <w:noProof/>
          </w:rPr>
          <w:fldChar w:fldCharType="end"/>
        </w:r>
      </w:p>
    </w:sdtContent>
  </w:sdt>
  <w:p w:rsidR="0028441C" w:rsidRDefault="00284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733333"/>
      <w:docPartObj>
        <w:docPartGallery w:val="Page Numbers (Bottom of Page)"/>
        <w:docPartUnique/>
      </w:docPartObj>
    </w:sdtPr>
    <w:sdtEndPr>
      <w:rPr>
        <w:noProof/>
      </w:rPr>
    </w:sdtEndPr>
    <w:sdtContent>
      <w:p w:rsidR="0028441C" w:rsidRDefault="0028441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8441C" w:rsidRDefault="0028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35" w:rsidRDefault="007D0835" w:rsidP="0028441C">
      <w:r>
        <w:separator/>
      </w:r>
    </w:p>
  </w:footnote>
  <w:footnote w:type="continuationSeparator" w:id="0">
    <w:p w:rsidR="007D0835" w:rsidRDefault="007D0835" w:rsidP="0028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B85"/>
    <w:multiLevelType w:val="hybridMultilevel"/>
    <w:tmpl w:val="120EF8DE"/>
    <w:lvl w:ilvl="0" w:tplc="838E856A">
      <w:numFmt w:val="bullet"/>
      <w:lvlText w:val=""/>
      <w:lvlJc w:val="left"/>
      <w:pPr>
        <w:ind w:left="567" w:hanging="284"/>
      </w:pPr>
      <w:rPr>
        <w:rFonts w:ascii="Wingdings" w:eastAsia="Wingdings" w:hAnsi="Wingdings" w:cs="Wingdings" w:hint="default"/>
        <w:w w:val="100"/>
        <w:sz w:val="22"/>
        <w:szCs w:val="22"/>
        <w:lang w:val="en-GB" w:eastAsia="en-GB" w:bidi="en-GB"/>
      </w:rPr>
    </w:lvl>
    <w:lvl w:ilvl="1" w:tplc="C6206DF0">
      <w:numFmt w:val="bullet"/>
      <w:lvlText w:val="•"/>
      <w:lvlJc w:val="left"/>
      <w:pPr>
        <w:ind w:left="1161" w:hanging="284"/>
      </w:pPr>
      <w:rPr>
        <w:rFonts w:hint="default"/>
        <w:lang w:val="en-GB" w:eastAsia="en-GB" w:bidi="en-GB"/>
      </w:rPr>
    </w:lvl>
    <w:lvl w:ilvl="2" w:tplc="F9140B7C">
      <w:numFmt w:val="bullet"/>
      <w:lvlText w:val="•"/>
      <w:lvlJc w:val="left"/>
      <w:pPr>
        <w:ind w:left="1762" w:hanging="284"/>
      </w:pPr>
      <w:rPr>
        <w:rFonts w:hint="default"/>
        <w:lang w:val="en-GB" w:eastAsia="en-GB" w:bidi="en-GB"/>
      </w:rPr>
    </w:lvl>
    <w:lvl w:ilvl="3" w:tplc="F8C09790">
      <w:numFmt w:val="bullet"/>
      <w:lvlText w:val="•"/>
      <w:lvlJc w:val="left"/>
      <w:pPr>
        <w:ind w:left="2364" w:hanging="284"/>
      </w:pPr>
      <w:rPr>
        <w:rFonts w:hint="default"/>
        <w:lang w:val="en-GB" w:eastAsia="en-GB" w:bidi="en-GB"/>
      </w:rPr>
    </w:lvl>
    <w:lvl w:ilvl="4" w:tplc="1F3A4C2A">
      <w:numFmt w:val="bullet"/>
      <w:lvlText w:val="•"/>
      <w:lvlJc w:val="left"/>
      <w:pPr>
        <w:ind w:left="2965" w:hanging="284"/>
      </w:pPr>
      <w:rPr>
        <w:rFonts w:hint="default"/>
        <w:lang w:val="en-GB" w:eastAsia="en-GB" w:bidi="en-GB"/>
      </w:rPr>
    </w:lvl>
    <w:lvl w:ilvl="5" w:tplc="73FCE5BC">
      <w:numFmt w:val="bullet"/>
      <w:lvlText w:val="•"/>
      <w:lvlJc w:val="left"/>
      <w:pPr>
        <w:ind w:left="3567" w:hanging="284"/>
      </w:pPr>
      <w:rPr>
        <w:rFonts w:hint="default"/>
        <w:lang w:val="en-GB" w:eastAsia="en-GB" w:bidi="en-GB"/>
      </w:rPr>
    </w:lvl>
    <w:lvl w:ilvl="6" w:tplc="153C0FC4">
      <w:numFmt w:val="bullet"/>
      <w:lvlText w:val="•"/>
      <w:lvlJc w:val="left"/>
      <w:pPr>
        <w:ind w:left="4168" w:hanging="284"/>
      </w:pPr>
      <w:rPr>
        <w:rFonts w:hint="default"/>
        <w:lang w:val="en-GB" w:eastAsia="en-GB" w:bidi="en-GB"/>
      </w:rPr>
    </w:lvl>
    <w:lvl w:ilvl="7" w:tplc="2C92338A">
      <w:numFmt w:val="bullet"/>
      <w:lvlText w:val="•"/>
      <w:lvlJc w:val="left"/>
      <w:pPr>
        <w:ind w:left="4769" w:hanging="284"/>
      </w:pPr>
      <w:rPr>
        <w:rFonts w:hint="default"/>
        <w:lang w:val="en-GB" w:eastAsia="en-GB" w:bidi="en-GB"/>
      </w:rPr>
    </w:lvl>
    <w:lvl w:ilvl="8" w:tplc="8CE48236">
      <w:numFmt w:val="bullet"/>
      <w:lvlText w:val="•"/>
      <w:lvlJc w:val="left"/>
      <w:pPr>
        <w:ind w:left="5371" w:hanging="284"/>
      </w:pPr>
      <w:rPr>
        <w:rFonts w:hint="default"/>
        <w:lang w:val="en-GB" w:eastAsia="en-GB" w:bidi="en-GB"/>
      </w:rPr>
    </w:lvl>
  </w:abstractNum>
  <w:abstractNum w:abstractNumId="1" w15:restartNumberingAfterBreak="0">
    <w:nsid w:val="40BF15A1"/>
    <w:multiLevelType w:val="hybridMultilevel"/>
    <w:tmpl w:val="F72C1424"/>
    <w:lvl w:ilvl="0" w:tplc="EA9AB4CC">
      <w:numFmt w:val="bullet"/>
      <w:lvlText w:val=""/>
      <w:lvlJc w:val="left"/>
      <w:pPr>
        <w:ind w:left="567" w:hanging="284"/>
      </w:pPr>
      <w:rPr>
        <w:rFonts w:ascii="Wingdings" w:eastAsia="Wingdings" w:hAnsi="Wingdings" w:cs="Wingdings" w:hint="default"/>
        <w:w w:val="100"/>
        <w:sz w:val="22"/>
        <w:szCs w:val="22"/>
        <w:lang w:val="en-GB" w:eastAsia="en-GB" w:bidi="en-GB"/>
      </w:rPr>
    </w:lvl>
    <w:lvl w:ilvl="1" w:tplc="93DE4284">
      <w:numFmt w:val="bullet"/>
      <w:lvlText w:val="•"/>
      <w:lvlJc w:val="left"/>
      <w:pPr>
        <w:ind w:left="1161" w:hanging="284"/>
      </w:pPr>
      <w:rPr>
        <w:rFonts w:hint="default"/>
        <w:lang w:val="en-GB" w:eastAsia="en-GB" w:bidi="en-GB"/>
      </w:rPr>
    </w:lvl>
    <w:lvl w:ilvl="2" w:tplc="3F6A1E7C">
      <w:numFmt w:val="bullet"/>
      <w:lvlText w:val="•"/>
      <w:lvlJc w:val="left"/>
      <w:pPr>
        <w:ind w:left="1762" w:hanging="284"/>
      </w:pPr>
      <w:rPr>
        <w:rFonts w:hint="default"/>
        <w:lang w:val="en-GB" w:eastAsia="en-GB" w:bidi="en-GB"/>
      </w:rPr>
    </w:lvl>
    <w:lvl w:ilvl="3" w:tplc="CB006D04">
      <w:numFmt w:val="bullet"/>
      <w:lvlText w:val="•"/>
      <w:lvlJc w:val="left"/>
      <w:pPr>
        <w:ind w:left="2364" w:hanging="284"/>
      </w:pPr>
      <w:rPr>
        <w:rFonts w:hint="default"/>
        <w:lang w:val="en-GB" w:eastAsia="en-GB" w:bidi="en-GB"/>
      </w:rPr>
    </w:lvl>
    <w:lvl w:ilvl="4" w:tplc="BCB0586A">
      <w:numFmt w:val="bullet"/>
      <w:lvlText w:val="•"/>
      <w:lvlJc w:val="left"/>
      <w:pPr>
        <w:ind w:left="2965" w:hanging="284"/>
      </w:pPr>
      <w:rPr>
        <w:rFonts w:hint="default"/>
        <w:lang w:val="en-GB" w:eastAsia="en-GB" w:bidi="en-GB"/>
      </w:rPr>
    </w:lvl>
    <w:lvl w:ilvl="5" w:tplc="59FA2C9A">
      <w:numFmt w:val="bullet"/>
      <w:lvlText w:val="•"/>
      <w:lvlJc w:val="left"/>
      <w:pPr>
        <w:ind w:left="3567" w:hanging="284"/>
      </w:pPr>
      <w:rPr>
        <w:rFonts w:hint="default"/>
        <w:lang w:val="en-GB" w:eastAsia="en-GB" w:bidi="en-GB"/>
      </w:rPr>
    </w:lvl>
    <w:lvl w:ilvl="6" w:tplc="85C6681A">
      <w:numFmt w:val="bullet"/>
      <w:lvlText w:val="•"/>
      <w:lvlJc w:val="left"/>
      <w:pPr>
        <w:ind w:left="4168" w:hanging="284"/>
      </w:pPr>
      <w:rPr>
        <w:rFonts w:hint="default"/>
        <w:lang w:val="en-GB" w:eastAsia="en-GB" w:bidi="en-GB"/>
      </w:rPr>
    </w:lvl>
    <w:lvl w:ilvl="7" w:tplc="41888F98">
      <w:numFmt w:val="bullet"/>
      <w:lvlText w:val="•"/>
      <w:lvlJc w:val="left"/>
      <w:pPr>
        <w:ind w:left="4769" w:hanging="284"/>
      </w:pPr>
      <w:rPr>
        <w:rFonts w:hint="default"/>
        <w:lang w:val="en-GB" w:eastAsia="en-GB" w:bidi="en-GB"/>
      </w:rPr>
    </w:lvl>
    <w:lvl w:ilvl="8" w:tplc="5720ECF2">
      <w:numFmt w:val="bullet"/>
      <w:lvlText w:val="•"/>
      <w:lvlJc w:val="left"/>
      <w:pPr>
        <w:ind w:left="5371" w:hanging="284"/>
      </w:pPr>
      <w:rPr>
        <w:rFonts w:hint="default"/>
        <w:lang w:val="en-GB" w:eastAsia="en-GB" w:bidi="en-GB"/>
      </w:rPr>
    </w:lvl>
  </w:abstractNum>
  <w:abstractNum w:abstractNumId="2" w15:restartNumberingAfterBreak="0">
    <w:nsid w:val="5BAC1924"/>
    <w:multiLevelType w:val="hybridMultilevel"/>
    <w:tmpl w:val="5CDE46E0"/>
    <w:lvl w:ilvl="0" w:tplc="61CC62C2">
      <w:numFmt w:val="bullet"/>
      <w:lvlText w:val=""/>
      <w:lvlJc w:val="left"/>
      <w:pPr>
        <w:ind w:left="567" w:hanging="284"/>
      </w:pPr>
      <w:rPr>
        <w:rFonts w:ascii="Wingdings" w:eastAsia="Wingdings" w:hAnsi="Wingdings" w:cs="Wingdings" w:hint="default"/>
        <w:w w:val="100"/>
        <w:sz w:val="22"/>
        <w:szCs w:val="22"/>
        <w:lang w:val="en-GB" w:eastAsia="en-GB" w:bidi="en-GB"/>
      </w:rPr>
    </w:lvl>
    <w:lvl w:ilvl="1" w:tplc="20E0727C">
      <w:numFmt w:val="bullet"/>
      <w:lvlText w:val="•"/>
      <w:lvlJc w:val="left"/>
      <w:pPr>
        <w:ind w:left="1161" w:hanging="284"/>
      </w:pPr>
      <w:rPr>
        <w:rFonts w:hint="default"/>
        <w:lang w:val="en-GB" w:eastAsia="en-GB" w:bidi="en-GB"/>
      </w:rPr>
    </w:lvl>
    <w:lvl w:ilvl="2" w:tplc="7A767A2E">
      <w:numFmt w:val="bullet"/>
      <w:lvlText w:val="•"/>
      <w:lvlJc w:val="left"/>
      <w:pPr>
        <w:ind w:left="1762" w:hanging="284"/>
      </w:pPr>
      <w:rPr>
        <w:rFonts w:hint="default"/>
        <w:lang w:val="en-GB" w:eastAsia="en-GB" w:bidi="en-GB"/>
      </w:rPr>
    </w:lvl>
    <w:lvl w:ilvl="3" w:tplc="DBB2B554">
      <w:numFmt w:val="bullet"/>
      <w:lvlText w:val="•"/>
      <w:lvlJc w:val="left"/>
      <w:pPr>
        <w:ind w:left="2364" w:hanging="284"/>
      </w:pPr>
      <w:rPr>
        <w:rFonts w:hint="default"/>
        <w:lang w:val="en-GB" w:eastAsia="en-GB" w:bidi="en-GB"/>
      </w:rPr>
    </w:lvl>
    <w:lvl w:ilvl="4" w:tplc="E7182880">
      <w:numFmt w:val="bullet"/>
      <w:lvlText w:val="•"/>
      <w:lvlJc w:val="left"/>
      <w:pPr>
        <w:ind w:left="2965" w:hanging="284"/>
      </w:pPr>
      <w:rPr>
        <w:rFonts w:hint="default"/>
        <w:lang w:val="en-GB" w:eastAsia="en-GB" w:bidi="en-GB"/>
      </w:rPr>
    </w:lvl>
    <w:lvl w:ilvl="5" w:tplc="3D0C785E">
      <w:numFmt w:val="bullet"/>
      <w:lvlText w:val="•"/>
      <w:lvlJc w:val="left"/>
      <w:pPr>
        <w:ind w:left="3567" w:hanging="284"/>
      </w:pPr>
      <w:rPr>
        <w:rFonts w:hint="default"/>
        <w:lang w:val="en-GB" w:eastAsia="en-GB" w:bidi="en-GB"/>
      </w:rPr>
    </w:lvl>
    <w:lvl w:ilvl="6" w:tplc="2250BE8C">
      <w:numFmt w:val="bullet"/>
      <w:lvlText w:val="•"/>
      <w:lvlJc w:val="left"/>
      <w:pPr>
        <w:ind w:left="4168" w:hanging="284"/>
      </w:pPr>
      <w:rPr>
        <w:rFonts w:hint="default"/>
        <w:lang w:val="en-GB" w:eastAsia="en-GB" w:bidi="en-GB"/>
      </w:rPr>
    </w:lvl>
    <w:lvl w:ilvl="7" w:tplc="A5D2EA62">
      <w:numFmt w:val="bullet"/>
      <w:lvlText w:val="•"/>
      <w:lvlJc w:val="left"/>
      <w:pPr>
        <w:ind w:left="4769" w:hanging="284"/>
      </w:pPr>
      <w:rPr>
        <w:rFonts w:hint="default"/>
        <w:lang w:val="en-GB" w:eastAsia="en-GB" w:bidi="en-GB"/>
      </w:rPr>
    </w:lvl>
    <w:lvl w:ilvl="8" w:tplc="386E378A">
      <w:numFmt w:val="bullet"/>
      <w:lvlText w:val="•"/>
      <w:lvlJc w:val="left"/>
      <w:pPr>
        <w:ind w:left="5371" w:hanging="284"/>
      </w:pPr>
      <w:rPr>
        <w:rFonts w:hint="default"/>
        <w:lang w:val="en-GB" w:eastAsia="en-GB" w:bidi="en-GB"/>
      </w:rPr>
    </w:lvl>
  </w:abstractNum>
  <w:abstractNum w:abstractNumId="3" w15:restartNumberingAfterBreak="0">
    <w:nsid w:val="64224241"/>
    <w:multiLevelType w:val="hybridMultilevel"/>
    <w:tmpl w:val="E3F4B4EC"/>
    <w:lvl w:ilvl="0" w:tplc="27926250">
      <w:numFmt w:val="bullet"/>
      <w:lvlText w:val=""/>
      <w:lvlJc w:val="left"/>
      <w:pPr>
        <w:ind w:left="567" w:hanging="284"/>
      </w:pPr>
      <w:rPr>
        <w:rFonts w:ascii="Wingdings" w:eastAsia="Wingdings" w:hAnsi="Wingdings" w:cs="Wingdings" w:hint="default"/>
        <w:w w:val="100"/>
        <w:sz w:val="22"/>
        <w:szCs w:val="22"/>
        <w:lang w:val="en-GB" w:eastAsia="en-GB" w:bidi="en-GB"/>
      </w:rPr>
    </w:lvl>
    <w:lvl w:ilvl="1" w:tplc="EB92D856">
      <w:numFmt w:val="bullet"/>
      <w:lvlText w:val="•"/>
      <w:lvlJc w:val="left"/>
      <w:pPr>
        <w:ind w:left="1161" w:hanging="284"/>
      </w:pPr>
      <w:rPr>
        <w:rFonts w:hint="default"/>
        <w:lang w:val="en-GB" w:eastAsia="en-GB" w:bidi="en-GB"/>
      </w:rPr>
    </w:lvl>
    <w:lvl w:ilvl="2" w:tplc="00F89EDC">
      <w:numFmt w:val="bullet"/>
      <w:lvlText w:val="•"/>
      <w:lvlJc w:val="left"/>
      <w:pPr>
        <w:ind w:left="1762" w:hanging="284"/>
      </w:pPr>
      <w:rPr>
        <w:rFonts w:hint="default"/>
        <w:lang w:val="en-GB" w:eastAsia="en-GB" w:bidi="en-GB"/>
      </w:rPr>
    </w:lvl>
    <w:lvl w:ilvl="3" w:tplc="01E88BBE">
      <w:numFmt w:val="bullet"/>
      <w:lvlText w:val="•"/>
      <w:lvlJc w:val="left"/>
      <w:pPr>
        <w:ind w:left="2364" w:hanging="284"/>
      </w:pPr>
      <w:rPr>
        <w:rFonts w:hint="default"/>
        <w:lang w:val="en-GB" w:eastAsia="en-GB" w:bidi="en-GB"/>
      </w:rPr>
    </w:lvl>
    <w:lvl w:ilvl="4" w:tplc="662C30F6">
      <w:numFmt w:val="bullet"/>
      <w:lvlText w:val="•"/>
      <w:lvlJc w:val="left"/>
      <w:pPr>
        <w:ind w:left="2965" w:hanging="284"/>
      </w:pPr>
      <w:rPr>
        <w:rFonts w:hint="default"/>
        <w:lang w:val="en-GB" w:eastAsia="en-GB" w:bidi="en-GB"/>
      </w:rPr>
    </w:lvl>
    <w:lvl w:ilvl="5" w:tplc="CCF21C06">
      <w:numFmt w:val="bullet"/>
      <w:lvlText w:val="•"/>
      <w:lvlJc w:val="left"/>
      <w:pPr>
        <w:ind w:left="3567" w:hanging="284"/>
      </w:pPr>
      <w:rPr>
        <w:rFonts w:hint="default"/>
        <w:lang w:val="en-GB" w:eastAsia="en-GB" w:bidi="en-GB"/>
      </w:rPr>
    </w:lvl>
    <w:lvl w:ilvl="6" w:tplc="5A7CC674">
      <w:numFmt w:val="bullet"/>
      <w:lvlText w:val="•"/>
      <w:lvlJc w:val="left"/>
      <w:pPr>
        <w:ind w:left="4168" w:hanging="284"/>
      </w:pPr>
      <w:rPr>
        <w:rFonts w:hint="default"/>
        <w:lang w:val="en-GB" w:eastAsia="en-GB" w:bidi="en-GB"/>
      </w:rPr>
    </w:lvl>
    <w:lvl w:ilvl="7" w:tplc="0E009C40">
      <w:numFmt w:val="bullet"/>
      <w:lvlText w:val="•"/>
      <w:lvlJc w:val="left"/>
      <w:pPr>
        <w:ind w:left="4769" w:hanging="284"/>
      </w:pPr>
      <w:rPr>
        <w:rFonts w:hint="default"/>
        <w:lang w:val="en-GB" w:eastAsia="en-GB" w:bidi="en-GB"/>
      </w:rPr>
    </w:lvl>
    <w:lvl w:ilvl="8" w:tplc="DE2AA2CA">
      <w:numFmt w:val="bullet"/>
      <w:lvlText w:val="•"/>
      <w:lvlJc w:val="left"/>
      <w:pPr>
        <w:ind w:left="5371" w:hanging="284"/>
      </w:pPr>
      <w:rPr>
        <w:rFonts w:hint="default"/>
        <w:lang w:val="en-GB" w:eastAsia="en-GB" w:bidi="en-GB"/>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1C"/>
    <w:rsid w:val="00061F21"/>
    <w:rsid w:val="000B6D97"/>
    <w:rsid w:val="000F6DA8"/>
    <w:rsid w:val="001C24B4"/>
    <w:rsid w:val="0028441C"/>
    <w:rsid w:val="002901BE"/>
    <w:rsid w:val="002F07E1"/>
    <w:rsid w:val="005E661A"/>
    <w:rsid w:val="007123B7"/>
    <w:rsid w:val="00722D72"/>
    <w:rsid w:val="007D0835"/>
    <w:rsid w:val="00894864"/>
    <w:rsid w:val="009E068A"/>
    <w:rsid w:val="00A63EB8"/>
    <w:rsid w:val="00AA3142"/>
    <w:rsid w:val="00C3608C"/>
    <w:rsid w:val="00C61549"/>
    <w:rsid w:val="00D170E7"/>
    <w:rsid w:val="00DD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C9B4"/>
  <w15:chartTrackingRefBased/>
  <w15:docId w15:val="{203EE8E5-0150-4369-9B46-8DE0CD3E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441C"/>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41C"/>
    <w:pPr>
      <w:tabs>
        <w:tab w:val="center" w:pos="4513"/>
        <w:tab w:val="right" w:pos="9026"/>
      </w:tabs>
    </w:pPr>
  </w:style>
  <w:style w:type="character" w:customStyle="1" w:styleId="HeaderChar">
    <w:name w:val="Header Char"/>
    <w:basedOn w:val="DefaultParagraphFont"/>
    <w:link w:val="Header"/>
    <w:uiPriority w:val="99"/>
    <w:rsid w:val="0028441C"/>
  </w:style>
  <w:style w:type="paragraph" w:styleId="Footer">
    <w:name w:val="footer"/>
    <w:basedOn w:val="Normal"/>
    <w:link w:val="FooterChar"/>
    <w:uiPriority w:val="99"/>
    <w:unhideWhenUsed/>
    <w:rsid w:val="0028441C"/>
    <w:pPr>
      <w:tabs>
        <w:tab w:val="center" w:pos="4513"/>
        <w:tab w:val="right" w:pos="9026"/>
      </w:tabs>
    </w:pPr>
  </w:style>
  <w:style w:type="character" w:customStyle="1" w:styleId="FooterChar">
    <w:name w:val="Footer Char"/>
    <w:basedOn w:val="DefaultParagraphFont"/>
    <w:link w:val="Footer"/>
    <w:uiPriority w:val="99"/>
    <w:rsid w:val="0028441C"/>
  </w:style>
  <w:style w:type="paragraph" w:styleId="BodyText">
    <w:name w:val="Body Text"/>
    <w:basedOn w:val="Normal"/>
    <w:link w:val="BodyTextChar"/>
    <w:uiPriority w:val="1"/>
    <w:qFormat/>
    <w:rsid w:val="0028441C"/>
    <w:rPr>
      <w:b/>
      <w:bCs/>
      <w:sz w:val="24"/>
      <w:szCs w:val="24"/>
    </w:rPr>
  </w:style>
  <w:style w:type="character" w:customStyle="1" w:styleId="BodyTextChar">
    <w:name w:val="Body Text Char"/>
    <w:basedOn w:val="DefaultParagraphFont"/>
    <w:link w:val="BodyText"/>
    <w:uiPriority w:val="1"/>
    <w:rsid w:val="0028441C"/>
    <w:rPr>
      <w:rFonts w:ascii="Arial" w:eastAsia="Arial" w:hAnsi="Arial" w:cs="Arial"/>
      <w:b/>
      <w:bCs/>
      <w:sz w:val="24"/>
      <w:szCs w:val="24"/>
      <w:lang w:eastAsia="en-GB" w:bidi="en-GB"/>
    </w:rPr>
  </w:style>
  <w:style w:type="paragraph" w:customStyle="1" w:styleId="TableParagraph">
    <w:name w:val="Table Paragraph"/>
    <w:basedOn w:val="Normal"/>
    <w:uiPriority w:val="1"/>
    <w:qFormat/>
    <w:rsid w:val="0028441C"/>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Donna OPCC</dc:creator>
  <cp:keywords/>
  <dc:description/>
  <cp:lastModifiedBy>Price Donna OPCC</cp:lastModifiedBy>
  <cp:revision>1</cp:revision>
  <dcterms:created xsi:type="dcterms:W3CDTF">2019-08-07T13:07:00Z</dcterms:created>
  <dcterms:modified xsi:type="dcterms:W3CDTF">2019-08-07T13:11:00Z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5b7cb629-3f3a-4895-a8b2-04eea108722c</vt:lpwstr>
  </property>
</Properties>
</file>