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351F" w14:textId="77777777" w:rsidR="00134DDB" w:rsidRPr="00FE59E2" w:rsidRDefault="00134DDB" w:rsidP="00C43939">
      <w:pPr>
        <w:ind w:left="567"/>
        <w:jc w:val="center"/>
        <w:rPr>
          <w:rFonts w:cs="Arial"/>
          <w:b/>
        </w:rPr>
      </w:pPr>
      <w:bookmarkStart w:id="0" w:name="_Toc392503950"/>
      <w:bookmarkStart w:id="1" w:name="_GoBack"/>
      <w:bookmarkEnd w:id="1"/>
    </w:p>
    <w:p w14:paraId="48413520" w14:textId="77777777" w:rsidR="00134DDB" w:rsidRPr="00FE59E2" w:rsidRDefault="00134DDB" w:rsidP="00C43939">
      <w:pPr>
        <w:ind w:left="567"/>
        <w:jc w:val="center"/>
        <w:rPr>
          <w:rFonts w:cs="Arial"/>
          <w:b/>
        </w:rPr>
      </w:pPr>
    </w:p>
    <w:p w14:paraId="48413521" w14:textId="77777777" w:rsidR="00134DDB" w:rsidRPr="00FE59E2" w:rsidRDefault="00134DDB" w:rsidP="00C43939">
      <w:pPr>
        <w:ind w:left="567"/>
        <w:jc w:val="center"/>
        <w:rPr>
          <w:rFonts w:cs="Arial"/>
          <w:b/>
        </w:rPr>
      </w:pPr>
    </w:p>
    <w:p w14:paraId="48413522" w14:textId="77777777" w:rsidR="00134DDB" w:rsidRPr="00FE59E2" w:rsidRDefault="00134DDB" w:rsidP="00C43939">
      <w:pPr>
        <w:ind w:left="567"/>
        <w:jc w:val="center"/>
        <w:rPr>
          <w:rFonts w:cs="Arial"/>
          <w:b/>
        </w:rPr>
      </w:pPr>
    </w:p>
    <w:p w14:paraId="48413523" w14:textId="77777777" w:rsidR="00134DDB" w:rsidRPr="00FE59E2" w:rsidRDefault="00134DDB" w:rsidP="00C43939">
      <w:pPr>
        <w:ind w:left="567"/>
        <w:jc w:val="center"/>
        <w:rPr>
          <w:rFonts w:cs="Arial"/>
          <w:b/>
        </w:rPr>
      </w:pPr>
    </w:p>
    <w:p w14:paraId="48413524" w14:textId="77777777" w:rsidR="00134DDB" w:rsidRPr="00FE59E2" w:rsidRDefault="00134DDB" w:rsidP="00C43939">
      <w:pPr>
        <w:ind w:left="567"/>
        <w:jc w:val="center"/>
        <w:rPr>
          <w:rFonts w:cs="Arial"/>
          <w:b/>
        </w:rPr>
      </w:pPr>
      <w:r w:rsidRPr="00FE59E2">
        <w:rPr>
          <w:rFonts w:cs="Arial"/>
          <w:b/>
          <w:noProof/>
          <w:lang w:eastAsia="en-GB"/>
        </w:rPr>
        <w:drawing>
          <wp:inline distT="0" distB="0" distL="0" distR="0" wp14:anchorId="484135B2" wp14:editId="484135B3">
            <wp:extent cx="2696630" cy="135863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CCMasterLogoRGBHigh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6630" cy="1358639"/>
                    </a:xfrm>
                    <a:prstGeom prst="rect">
                      <a:avLst/>
                    </a:prstGeom>
                  </pic:spPr>
                </pic:pic>
              </a:graphicData>
            </a:graphic>
          </wp:inline>
        </w:drawing>
      </w:r>
    </w:p>
    <w:p w14:paraId="48413525" w14:textId="77777777" w:rsidR="00134DDB" w:rsidRPr="00FE59E2" w:rsidRDefault="00134DDB" w:rsidP="00C43939">
      <w:pPr>
        <w:ind w:left="567"/>
        <w:jc w:val="center"/>
        <w:rPr>
          <w:rFonts w:cs="Arial"/>
          <w:b/>
        </w:rPr>
      </w:pPr>
    </w:p>
    <w:p w14:paraId="48413526" w14:textId="77777777" w:rsidR="00134DDB" w:rsidRPr="005D3762" w:rsidRDefault="00134DDB" w:rsidP="00C43939">
      <w:pPr>
        <w:ind w:left="567"/>
        <w:jc w:val="center"/>
        <w:rPr>
          <w:rFonts w:cs="Arial"/>
          <w:b/>
          <w:color w:val="17365D" w:themeColor="text2" w:themeShade="BF"/>
          <w:sz w:val="32"/>
        </w:rPr>
      </w:pPr>
      <w:r w:rsidRPr="005D3762">
        <w:rPr>
          <w:rFonts w:cs="Arial"/>
          <w:b/>
          <w:color w:val="17365D" w:themeColor="text2" w:themeShade="BF"/>
          <w:sz w:val="32"/>
        </w:rPr>
        <w:t xml:space="preserve">Police and Crime </w:t>
      </w:r>
    </w:p>
    <w:p w14:paraId="48413527" w14:textId="7D431E7C" w:rsidR="00134DDB" w:rsidRPr="005D3762" w:rsidRDefault="00134DDB" w:rsidP="00C43939">
      <w:pPr>
        <w:ind w:left="567"/>
        <w:jc w:val="center"/>
        <w:rPr>
          <w:rFonts w:cs="Arial"/>
          <w:b/>
          <w:color w:val="17365D" w:themeColor="text2" w:themeShade="BF"/>
          <w:sz w:val="32"/>
        </w:rPr>
      </w:pPr>
      <w:r w:rsidRPr="005D3762">
        <w:rPr>
          <w:rFonts w:cs="Arial"/>
          <w:b/>
          <w:color w:val="17365D" w:themeColor="text2" w:themeShade="BF"/>
          <w:sz w:val="32"/>
        </w:rPr>
        <w:t>Commissioner for Dyfed-Powys</w:t>
      </w:r>
    </w:p>
    <w:p w14:paraId="48413528" w14:textId="77777777" w:rsidR="00134DDB" w:rsidRPr="005D3762" w:rsidRDefault="00134DDB" w:rsidP="00C43939">
      <w:pPr>
        <w:ind w:left="567"/>
        <w:jc w:val="center"/>
        <w:rPr>
          <w:rFonts w:cs="Arial"/>
          <w:b/>
          <w:sz w:val="32"/>
        </w:rPr>
      </w:pPr>
    </w:p>
    <w:p w14:paraId="48413529" w14:textId="7D2D042B" w:rsidR="00134DDB" w:rsidRPr="005D3762" w:rsidRDefault="00F9716C" w:rsidP="00C43939">
      <w:pPr>
        <w:ind w:left="567"/>
        <w:jc w:val="center"/>
        <w:rPr>
          <w:rFonts w:cs="Arial"/>
          <w:b/>
          <w:color w:val="548DD4" w:themeColor="text2" w:themeTint="99"/>
          <w:sz w:val="32"/>
        </w:rPr>
      </w:pPr>
      <w:r>
        <w:rPr>
          <w:rFonts w:cs="Arial"/>
          <w:b/>
          <w:color w:val="548DD4" w:themeColor="text2" w:themeTint="99"/>
          <w:sz w:val="32"/>
        </w:rPr>
        <w:t xml:space="preserve">Decision </w:t>
      </w:r>
      <w:r w:rsidR="0010044C">
        <w:rPr>
          <w:rFonts w:cs="Arial"/>
          <w:b/>
          <w:color w:val="548DD4" w:themeColor="text2" w:themeTint="99"/>
          <w:sz w:val="32"/>
        </w:rPr>
        <w:t>M</w:t>
      </w:r>
      <w:r>
        <w:rPr>
          <w:rFonts w:cs="Arial"/>
          <w:b/>
          <w:color w:val="548DD4" w:themeColor="text2" w:themeTint="99"/>
          <w:sz w:val="32"/>
        </w:rPr>
        <w:t>aking</w:t>
      </w:r>
      <w:r w:rsidR="00E01AE9">
        <w:rPr>
          <w:rFonts w:cs="Arial"/>
          <w:b/>
          <w:color w:val="548DD4" w:themeColor="text2" w:themeTint="99"/>
          <w:sz w:val="32"/>
        </w:rPr>
        <w:t xml:space="preserve"> Policy</w:t>
      </w:r>
    </w:p>
    <w:p w14:paraId="4841352A" w14:textId="77777777" w:rsidR="00134DDB" w:rsidRPr="00FE59E2" w:rsidRDefault="00134DDB" w:rsidP="00C43939">
      <w:pPr>
        <w:ind w:left="567"/>
        <w:jc w:val="center"/>
        <w:rPr>
          <w:rFonts w:cs="Arial"/>
          <w:b/>
          <w:color w:val="17365D" w:themeColor="text2" w:themeShade="BF"/>
        </w:rPr>
      </w:pPr>
    </w:p>
    <w:p w14:paraId="4841352B" w14:textId="77777777" w:rsidR="0043716A" w:rsidRPr="00FE59E2" w:rsidRDefault="0043716A" w:rsidP="00C43939">
      <w:pPr>
        <w:rPr>
          <w:rFonts w:cs="Arial"/>
          <w:b/>
        </w:rPr>
      </w:pPr>
    </w:p>
    <w:p w14:paraId="75A1E5E0" w14:textId="621F5FFD" w:rsidR="00450C16" w:rsidRDefault="00450C16" w:rsidP="00C43939">
      <w:pPr>
        <w:rPr>
          <w:rFonts w:eastAsiaTheme="majorEastAsia" w:cs="Arial"/>
          <w:b/>
          <w:bCs/>
          <w:color w:val="365F91" w:themeColor="accent1" w:themeShade="BF"/>
        </w:rPr>
      </w:pPr>
    </w:p>
    <w:p w14:paraId="358DA98C" w14:textId="77777777" w:rsidR="00450C16" w:rsidRDefault="00450C16" w:rsidP="00C43939">
      <w:pPr>
        <w:rPr>
          <w:rFonts w:eastAsiaTheme="majorEastAsia" w:cs="Arial"/>
          <w:b/>
          <w:bCs/>
          <w:color w:val="365F91" w:themeColor="accent1" w:themeShade="BF"/>
        </w:rPr>
      </w:pPr>
    </w:p>
    <w:p w14:paraId="0763EA64" w14:textId="77777777" w:rsidR="00450C16" w:rsidRDefault="00450C16" w:rsidP="00C43939">
      <w:pPr>
        <w:rPr>
          <w:rFonts w:eastAsiaTheme="majorEastAsia" w:cs="Arial"/>
          <w:b/>
          <w:bCs/>
          <w:color w:val="365F91" w:themeColor="accent1" w:themeShade="BF"/>
        </w:rPr>
      </w:pPr>
    </w:p>
    <w:tbl>
      <w:tblPr>
        <w:tblStyle w:val="TableGrid"/>
        <w:tblW w:w="0" w:type="auto"/>
        <w:tblLook w:val="04A0" w:firstRow="1" w:lastRow="0" w:firstColumn="1" w:lastColumn="0" w:noHBand="0" w:noVBand="1"/>
      </w:tblPr>
      <w:tblGrid>
        <w:gridCol w:w="1373"/>
        <w:gridCol w:w="1389"/>
        <w:gridCol w:w="1810"/>
        <w:gridCol w:w="4444"/>
      </w:tblGrid>
      <w:tr w:rsidR="00B81EF8" w:rsidRPr="00B81EF8" w14:paraId="2BF9BE38" w14:textId="77777777" w:rsidTr="00C67C56">
        <w:tc>
          <w:tcPr>
            <w:tcW w:w="1384" w:type="dxa"/>
          </w:tcPr>
          <w:p w14:paraId="26419929" w14:textId="77777777" w:rsidR="00B81EF8" w:rsidRPr="00B81EF8" w:rsidRDefault="00B81EF8" w:rsidP="00B81EF8">
            <w:pPr>
              <w:spacing w:after="200" w:line="276" w:lineRule="auto"/>
              <w:rPr>
                <w:rFonts w:cs="Arial"/>
                <w:b/>
                <w:u w:val="single"/>
              </w:rPr>
            </w:pPr>
            <w:r w:rsidRPr="00B81EF8">
              <w:rPr>
                <w:rFonts w:cs="Arial"/>
                <w:b/>
                <w:u w:val="single"/>
              </w:rPr>
              <w:t>Version</w:t>
            </w:r>
          </w:p>
        </w:tc>
        <w:tc>
          <w:tcPr>
            <w:tcW w:w="1418" w:type="dxa"/>
          </w:tcPr>
          <w:p w14:paraId="3D9D81FA" w14:textId="77777777" w:rsidR="00B81EF8" w:rsidRPr="00B81EF8" w:rsidRDefault="00B81EF8" w:rsidP="00B81EF8">
            <w:pPr>
              <w:spacing w:after="200" w:line="276" w:lineRule="auto"/>
              <w:rPr>
                <w:rFonts w:cs="Arial"/>
                <w:b/>
                <w:u w:val="single"/>
              </w:rPr>
            </w:pPr>
            <w:r w:rsidRPr="00B81EF8">
              <w:rPr>
                <w:rFonts w:cs="Arial"/>
                <w:b/>
                <w:u w:val="single"/>
              </w:rPr>
              <w:t>Date</w:t>
            </w:r>
          </w:p>
        </w:tc>
        <w:tc>
          <w:tcPr>
            <w:tcW w:w="1842" w:type="dxa"/>
          </w:tcPr>
          <w:p w14:paraId="5E90239E" w14:textId="77777777" w:rsidR="00B81EF8" w:rsidRPr="00B81EF8" w:rsidRDefault="00B81EF8" w:rsidP="00B81EF8">
            <w:pPr>
              <w:spacing w:after="200" w:line="276" w:lineRule="auto"/>
              <w:rPr>
                <w:rFonts w:cs="Arial"/>
                <w:b/>
                <w:u w:val="single"/>
              </w:rPr>
            </w:pPr>
            <w:r w:rsidRPr="00B81EF8">
              <w:rPr>
                <w:rFonts w:cs="Arial"/>
                <w:b/>
                <w:u w:val="single"/>
              </w:rPr>
              <w:t>Author</w:t>
            </w:r>
          </w:p>
        </w:tc>
        <w:tc>
          <w:tcPr>
            <w:tcW w:w="4598" w:type="dxa"/>
          </w:tcPr>
          <w:p w14:paraId="5AB34F65" w14:textId="77777777" w:rsidR="00B81EF8" w:rsidRPr="00B81EF8" w:rsidRDefault="00B81EF8" w:rsidP="00B81EF8">
            <w:pPr>
              <w:spacing w:after="200" w:line="276" w:lineRule="auto"/>
              <w:rPr>
                <w:rFonts w:cs="Arial"/>
                <w:b/>
                <w:u w:val="single"/>
              </w:rPr>
            </w:pPr>
            <w:r w:rsidRPr="00B81EF8">
              <w:rPr>
                <w:rFonts w:cs="Arial"/>
                <w:b/>
                <w:u w:val="single"/>
              </w:rPr>
              <w:t>Reason for change</w:t>
            </w:r>
          </w:p>
        </w:tc>
      </w:tr>
      <w:tr w:rsidR="00B81EF8" w:rsidRPr="00B81EF8" w14:paraId="35268F93" w14:textId="77777777" w:rsidTr="00C67C56">
        <w:tc>
          <w:tcPr>
            <w:tcW w:w="1384" w:type="dxa"/>
          </w:tcPr>
          <w:p w14:paraId="27032CBB" w14:textId="77777777" w:rsidR="00B81EF8" w:rsidRPr="00B81EF8" w:rsidRDefault="00B81EF8" w:rsidP="00B81EF8">
            <w:pPr>
              <w:spacing w:after="200" w:line="276" w:lineRule="auto"/>
              <w:rPr>
                <w:rFonts w:cs="Arial"/>
              </w:rPr>
            </w:pPr>
            <w:r w:rsidRPr="00B81EF8">
              <w:rPr>
                <w:rFonts w:cs="Arial"/>
              </w:rPr>
              <w:t>1.0</w:t>
            </w:r>
          </w:p>
        </w:tc>
        <w:tc>
          <w:tcPr>
            <w:tcW w:w="1418" w:type="dxa"/>
          </w:tcPr>
          <w:p w14:paraId="3FD7D93A" w14:textId="4AAA16F6" w:rsidR="00B81EF8" w:rsidRPr="00B81EF8" w:rsidRDefault="00B81EF8" w:rsidP="00B81EF8">
            <w:pPr>
              <w:spacing w:after="200" w:line="276" w:lineRule="auto"/>
              <w:rPr>
                <w:rFonts w:cs="Arial"/>
              </w:rPr>
            </w:pPr>
            <w:r w:rsidRPr="00B81EF8">
              <w:rPr>
                <w:rFonts w:cs="Arial"/>
              </w:rPr>
              <w:t>April 2017</w:t>
            </w:r>
          </w:p>
        </w:tc>
        <w:tc>
          <w:tcPr>
            <w:tcW w:w="1842" w:type="dxa"/>
          </w:tcPr>
          <w:p w14:paraId="56B550FF" w14:textId="5817A193" w:rsidR="00B81EF8" w:rsidRPr="00B81EF8" w:rsidRDefault="00B81EF8" w:rsidP="00B81EF8">
            <w:pPr>
              <w:spacing w:after="200" w:line="276" w:lineRule="auto"/>
              <w:rPr>
                <w:rFonts w:cs="Arial"/>
              </w:rPr>
            </w:pPr>
            <w:r w:rsidRPr="00B81EF8">
              <w:rPr>
                <w:rFonts w:cs="Arial"/>
              </w:rPr>
              <w:t>Carys Morgans</w:t>
            </w:r>
          </w:p>
        </w:tc>
        <w:tc>
          <w:tcPr>
            <w:tcW w:w="4598" w:type="dxa"/>
          </w:tcPr>
          <w:p w14:paraId="04F1390E" w14:textId="510083ED" w:rsidR="00B81EF8" w:rsidRPr="00B81EF8" w:rsidRDefault="00B81EF8" w:rsidP="00B81EF8">
            <w:pPr>
              <w:spacing w:after="200" w:line="276" w:lineRule="auto"/>
              <w:rPr>
                <w:rFonts w:cs="Arial"/>
              </w:rPr>
            </w:pPr>
            <w:r w:rsidRPr="00B81EF8">
              <w:rPr>
                <w:rFonts w:cs="Arial"/>
              </w:rPr>
              <w:t xml:space="preserve">Initial </w:t>
            </w:r>
            <w:r w:rsidR="009A1E59">
              <w:rPr>
                <w:rFonts w:cs="Arial"/>
              </w:rPr>
              <w:t>draft</w:t>
            </w:r>
          </w:p>
        </w:tc>
      </w:tr>
      <w:tr w:rsidR="00B81EF8" w:rsidRPr="00B81EF8" w14:paraId="5BBA86D2" w14:textId="77777777" w:rsidTr="00C67C56">
        <w:tc>
          <w:tcPr>
            <w:tcW w:w="1384" w:type="dxa"/>
          </w:tcPr>
          <w:p w14:paraId="235ECACD" w14:textId="02650579" w:rsidR="00B81EF8" w:rsidRPr="00B81EF8" w:rsidRDefault="00B81EF8" w:rsidP="00B81EF8">
            <w:pPr>
              <w:spacing w:after="200" w:line="276" w:lineRule="auto"/>
              <w:rPr>
                <w:rFonts w:cs="Arial"/>
              </w:rPr>
            </w:pPr>
            <w:r w:rsidRPr="00B81EF8">
              <w:rPr>
                <w:rFonts w:cs="Arial"/>
              </w:rPr>
              <w:t>1.1</w:t>
            </w:r>
          </w:p>
        </w:tc>
        <w:tc>
          <w:tcPr>
            <w:tcW w:w="1418" w:type="dxa"/>
          </w:tcPr>
          <w:p w14:paraId="0696F07F" w14:textId="2E1E557A" w:rsidR="00B81EF8" w:rsidRPr="00B81EF8" w:rsidRDefault="00B81EF8" w:rsidP="00B81EF8">
            <w:pPr>
              <w:spacing w:after="200" w:line="276" w:lineRule="auto"/>
              <w:rPr>
                <w:rFonts w:cs="Arial"/>
              </w:rPr>
            </w:pPr>
            <w:r w:rsidRPr="00B81EF8">
              <w:rPr>
                <w:rFonts w:cs="Arial"/>
              </w:rPr>
              <w:t>July 2019</w:t>
            </w:r>
          </w:p>
        </w:tc>
        <w:tc>
          <w:tcPr>
            <w:tcW w:w="1842" w:type="dxa"/>
          </w:tcPr>
          <w:p w14:paraId="6794D954" w14:textId="4E2497D0" w:rsidR="00B81EF8" w:rsidRPr="00B81EF8" w:rsidRDefault="00B81EF8" w:rsidP="00B81EF8">
            <w:pPr>
              <w:spacing w:after="200" w:line="276" w:lineRule="auto"/>
              <w:rPr>
                <w:rFonts w:cs="Arial"/>
              </w:rPr>
            </w:pPr>
            <w:r w:rsidRPr="00B81EF8">
              <w:rPr>
                <w:rFonts w:cs="Arial"/>
              </w:rPr>
              <w:t>Carys Morgans</w:t>
            </w:r>
          </w:p>
        </w:tc>
        <w:tc>
          <w:tcPr>
            <w:tcW w:w="4598" w:type="dxa"/>
          </w:tcPr>
          <w:p w14:paraId="54625743" w14:textId="681A81DA" w:rsidR="00B81EF8" w:rsidRPr="00B81EF8" w:rsidRDefault="00B81EF8" w:rsidP="00B81EF8">
            <w:pPr>
              <w:spacing w:after="200" w:line="276" w:lineRule="auto"/>
              <w:rPr>
                <w:rFonts w:cs="Arial"/>
              </w:rPr>
            </w:pPr>
            <w:r w:rsidRPr="00B81EF8">
              <w:rPr>
                <w:rFonts w:cs="Arial"/>
              </w:rPr>
              <w:t>Reviewed – no changes</w:t>
            </w:r>
          </w:p>
        </w:tc>
      </w:tr>
    </w:tbl>
    <w:p w14:paraId="154C1684" w14:textId="31788565" w:rsidR="005D3762" w:rsidRPr="005D3762" w:rsidRDefault="005D3762" w:rsidP="005D3762">
      <w:pPr>
        <w:rPr>
          <w:rFonts w:cs="Arial"/>
          <w:b/>
        </w:rPr>
      </w:pPr>
    </w:p>
    <w:sdt>
      <w:sdtPr>
        <w:rPr>
          <w:rFonts w:eastAsiaTheme="minorHAnsi" w:cstheme="minorBidi"/>
          <w:b w:val="0"/>
          <w:bCs w:val="0"/>
          <w:color w:val="auto"/>
          <w:sz w:val="22"/>
          <w:szCs w:val="22"/>
          <w:lang w:val="en-GB" w:eastAsia="en-US"/>
        </w:rPr>
        <w:id w:val="-794139532"/>
        <w:docPartObj>
          <w:docPartGallery w:val="Table of Contents"/>
          <w:docPartUnique/>
        </w:docPartObj>
      </w:sdtPr>
      <w:sdtEndPr>
        <w:rPr>
          <w:noProof/>
        </w:rPr>
      </w:sdtEndPr>
      <w:sdtContent>
        <w:p w14:paraId="23087396" w14:textId="5B019F9F" w:rsidR="005D3762" w:rsidRDefault="005D3762">
          <w:pPr>
            <w:pStyle w:val="TOCHeading"/>
          </w:pPr>
          <w:r>
            <w:t>Contents</w:t>
          </w:r>
        </w:p>
        <w:p w14:paraId="6FF8BA02" w14:textId="77777777" w:rsidR="008D4BF6" w:rsidRDefault="005D3762">
          <w:pPr>
            <w:pStyle w:val="TOC1"/>
            <w:tabs>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479283289" w:history="1">
            <w:r w:rsidR="008D4BF6" w:rsidRPr="00605D59">
              <w:rPr>
                <w:rStyle w:val="Hyperlink"/>
                <w:noProof/>
              </w:rPr>
              <w:t>Introduction</w:t>
            </w:r>
            <w:r w:rsidR="008D4BF6">
              <w:rPr>
                <w:noProof/>
                <w:webHidden/>
              </w:rPr>
              <w:tab/>
            </w:r>
            <w:r w:rsidR="008D4BF6">
              <w:rPr>
                <w:noProof/>
                <w:webHidden/>
              </w:rPr>
              <w:fldChar w:fldCharType="begin"/>
            </w:r>
            <w:r w:rsidR="008D4BF6">
              <w:rPr>
                <w:noProof/>
                <w:webHidden/>
              </w:rPr>
              <w:instrText xml:space="preserve"> PAGEREF _Toc479283289 \h </w:instrText>
            </w:r>
            <w:r w:rsidR="008D4BF6">
              <w:rPr>
                <w:noProof/>
                <w:webHidden/>
              </w:rPr>
            </w:r>
            <w:r w:rsidR="008D4BF6">
              <w:rPr>
                <w:noProof/>
                <w:webHidden/>
              </w:rPr>
              <w:fldChar w:fldCharType="separate"/>
            </w:r>
            <w:r w:rsidR="008D4BF6">
              <w:rPr>
                <w:noProof/>
                <w:webHidden/>
              </w:rPr>
              <w:t>2</w:t>
            </w:r>
            <w:r w:rsidR="008D4BF6">
              <w:rPr>
                <w:noProof/>
                <w:webHidden/>
              </w:rPr>
              <w:fldChar w:fldCharType="end"/>
            </w:r>
          </w:hyperlink>
        </w:p>
        <w:p w14:paraId="3404DC28" w14:textId="77777777" w:rsidR="008D4BF6" w:rsidRDefault="00814C97">
          <w:pPr>
            <w:pStyle w:val="TOC1"/>
            <w:tabs>
              <w:tab w:val="right" w:leader="dot" w:pos="9016"/>
            </w:tabs>
            <w:rPr>
              <w:rFonts w:asciiTheme="minorHAnsi" w:eastAsiaTheme="minorEastAsia" w:hAnsiTheme="minorHAnsi"/>
              <w:noProof/>
              <w:lang w:eastAsia="en-GB"/>
            </w:rPr>
          </w:pPr>
          <w:hyperlink w:anchor="_Toc479283290" w:history="1">
            <w:r w:rsidR="008D4BF6" w:rsidRPr="00605D59">
              <w:rPr>
                <w:rStyle w:val="Hyperlink"/>
                <w:noProof/>
              </w:rPr>
              <w:t>The Strategic Framework</w:t>
            </w:r>
            <w:r w:rsidR="008D4BF6">
              <w:rPr>
                <w:noProof/>
                <w:webHidden/>
              </w:rPr>
              <w:tab/>
            </w:r>
            <w:r w:rsidR="008D4BF6">
              <w:rPr>
                <w:noProof/>
                <w:webHidden/>
              </w:rPr>
              <w:fldChar w:fldCharType="begin"/>
            </w:r>
            <w:r w:rsidR="008D4BF6">
              <w:rPr>
                <w:noProof/>
                <w:webHidden/>
              </w:rPr>
              <w:instrText xml:space="preserve"> PAGEREF _Toc479283290 \h </w:instrText>
            </w:r>
            <w:r w:rsidR="008D4BF6">
              <w:rPr>
                <w:noProof/>
                <w:webHidden/>
              </w:rPr>
            </w:r>
            <w:r w:rsidR="008D4BF6">
              <w:rPr>
                <w:noProof/>
                <w:webHidden/>
              </w:rPr>
              <w:fldChar w:fldCharType="separate"/>
            </w:r>
            <w:r w:rsidR="008D4BF6">
              <w:rPr>
                <w:noProof/>
                <w:webHidden/>
              </w:rPr>
              <w:t>2</w:t>
            </w:r>
            <w:r w:rsidR="008D4BF6">
              <w:rPr>
                <w:noProof/>
                <w:webHidden/>
              </w:rPr>
              <w:fldChar w:fldCharType="end"/>
            </w:r>
          </w:hyperlink>
        </w:p>
        <w:p w14:paraId="397EC712" w14:textId="77777777" w:rsidR="008D4BF6" w:rsidRDefault="00814C97">
          <w:pPr>
            <w:pStyle w:val="TOC1"/>
            <w:tabs>
              <w:tab w:val="right" w:leader="dot" w:pos="9016"/>
            </w:tabs>
            <w:rPr>
              <w:rFonts w:asciiTheme="minorHAnsi" w:eastAsiaTheme="minorEastAsia" w:hAnsiTheme="minorHAnsi"/>
              <w:noProof/>
              <w:lang w:eastAsia="en-GB"/>
            </w:rPr>
          </w:pPr>
          <w:hyperlink w:anchor="_Toc479283291" w:history="1">
            <w:r w:rsidR="008D4BF6" w:rsidRPr="00605D59">
              <w:rPr>
                <w:rStyle w:val="Hyperlink"/>
                <w:noProof/>
              </w:rPr>
              <w:t>Principles of Decision Making</w:t>
            </w:r>
            <w:r w:rsidR="008D4BF6">
              <w:rPr>
                <w:noProof/>
                <w:webHidden/>
              </w:rPr>
              <w:tab/>
            </w:r>
            <w:r w:rsidR="008D4BF6">
              <w:rPr>
                <w:noProof/>
                <w:webHidden/>
              </w:rPr>
              <w:fldChar w:fldCharType="begin"/>
            </w:r>
            <w:r w:rsidR="008D4BF6">
              <w:rPr>
                <w:noProof/>
                <w:webHidden/>
              </w:rPr>
              <w:instrText xml:space="preserve"> PAGEREF _Toc479283291 \h </w:instrText>
            </w:r>
            <w:r w:rsidR="008D4BF6">
              <w:rPr>
                <w:noProof/>
                <w:webHidden/>
              </w:rPr>
            </w:r>
            <w:r w:rsidR="008D4BF6">
              <w:rPr>
                <w:noProof/>
                <w:webHidden/>
              </w:rPr>
              <w:fldChar w:fldCharType="separate"/>
            </w:r>
            <w:r w:rsidR="008D4BF6">
              <w:rPr>
                <w:noProof/>
                <w:webHidden/>
              </w:rPr>
              <w:t>3</w:t>
            </w:r>
            <w:r w:rsidR="008D4BF6">
              <w:rPr>
                <w:noProof/>
                <w:webHidden/>
              </w:rPr>
              <w:fldChar w:fldCharType="end"/>
            </w:r>
          </w:hyperlink>
        </w:p>
        <w:p w14:paraId="4FA7BD87" w14:textId="77777777" w:rsidR="008D4BF6" w:rsidRDefault="00814C97">
          <w:pPr>
            <w:pStyle w:val="TOC1"/>
            <w:tabs>
              <w:tab w:val="right" w:leader="dot" w:pos="9016"/>
            </w:tabs>
            <w:rPr>
              <w:rFonts w:asciiTheme="minorHAnsi" w:eastAsiaTheme="minorEastAsia" w:hAnsiTheme="minorHAnsi"/>
              <w:noProof/>
              <w:lang w:eastAsia="en-GB"/>
            </w:rPr>
          </w:pPr>
          <w:hyperlink w:anchor="_Toc479283292" w:history="1">
            <w:r w:rsidR="008D4BF6" w:rsidRPr="00605D59">
              <w:rPr>
                <w:rStyle w:val="Hyperlink"/>
                <w:noProof/>
              </w:rPr>
              <w:t>Decision Making Process</w:t>
            </w:r>
            <w:r w:rsidR="008D4BF6">
              <w:rPr>
                <w:noProof/>
                <w:webHidden/>
              </w:rPr>
              <w:tab/>
            </w:r>
            <w:r w:rsidR="008D4BF6">
              <w:rPr>
                <w:noProof/>
                <w:webHidden/>
              </w:rPr>
              <w:fldChar w:fldCharType="begin"/>
            </w:r>
            <w:r w:rsidR="008D4BF6">
              <w:rPr>
                <w:noProof/>
                <w:webHidden/>
              </w:rPr>
              <w:instrText xml:space="preserve"> PAGEREF _Toc479283292 \h </w:instrText>
            </w:r>
            <w:r w:rsidR="008D4BF6">
              <w:rPr>
                <w:noProof/>
                <w:webHidden/>
              </w:rPr>
            </w:r>
            <w:r w:rsidR="008D4BF6">
              <w:rPr>
                <w:noProof/>
                <w:webHidden/>
              </w:rPr>
              <w:fldChar w:fldCharType="separate"/>
            </w:r>
            <w:r w:rsidR="008D4BF6">
              <w:rPr>
                <w:noProof/>
                <w:webHidden/>
              </w:rPr>
              <w:t>3</w:t>
            </w:r>
            <w:r w:rsidR="008D4BF6">
              <w:rPr>
                <w:noProof/>
                <w:webHidden/>
              </w:rPr>
              <w:fldChar w:fldCharType="end"/>
            </w:r>
          </w:hyperlink>
        </w:p>
        <w:p w14:paraId="711EC286" w14:textId="77777777" w:rsidR="008D4BF6" w:rsidRDefault="00814C97">
          <w:pPr>
            <w:pStyle w:val="TOC1"/>
            <w:tabs>
              <w:tab w:val="right" w:leader="dot" w:pos="9016"/>
            </w:tabs>
            <w:rPr>
              <w:rFonts w:asciiTheme="minorHAnsi" w:eastAsiaTheme="minorEastAsia" w:hAnsiTheme="minorHAnsi"/>
              <w:noProof/>
              <w:lang w:eastAsia="en-GB"/>
            </w:rPr>
          </w:pPr>
          <w:hyperlink w:anchor="_Toc479283293" w:history="1">
            <w:r w:rsidR="008D4BF6" w:rsidRPr="00605D59">
              <w:rPr>
                <w:rStyle w:val="Hyperlink"/>
                <w:noProof/>
              </w:rPr>
              <w:t>Delegations for Decision Making</w:t>
            </w:r>
            <w:r w:rsidR="008D4BF6">
              <w:rPr>
                <w:noProof/>
                <w:webHidden/>
              </w:rPr>
              <w:tab/>
            </w:r>
            <w:r w:rsidR="008D4BF6">
              <w:rPr>
                <w:noProof/>
                <w:webHidden/>
              </w:rPr>
              <w:fldChar w:fldCharType="begin"/>
            </w:r>
            <w:r w:rsidR="008D4BF6">
              <w:rPr>
                <w:noProof/>
                <w:webHidden/>
              </w:rPr>
              <w:instrText xml:space="preserve"> PAGEREF _Toc479283293 \h </w:instrText>
            </w:r>
            <w:r w:rsidR="008D4BF6">
              <w:rPr>
                <w:noProof/>
                <w:webHidden/>
              </w:rPr>
            </w:r>
            <w:r w:rsidR="008D4BF6">
              <w:rPr>
                <w:noProof/>
                <w:webHidden/>
              </w:rPr>
              <w:fldChar w:fldCharType="separate"/>
            </w:r>
            <w:r w:rsidR="008D4BF6">
              <w:rPr>
                <w:noProof/>
                <w:webHidden/>
              </w:rPr>
              <w:t>4</w:t>
            </w:r>
            <w:r w:rsidR="008D4BF6">
              <w:rPr>
                <w:noProof/>
                <w:webHidden/>
              </w:rPr>
              <w:fldChar w:fldCharType="end"/>
            </w:r>
          </w:hyperlink>
        </w:p>
        <w:p w14:paraId="441990C1" w14:textId="77777777" w:rsidR="008D4BF6" w:rsidRDefault="00814C97">
          <w:pPr>
            <w:pStyle w:val="TOC1"/>
            <w:tabs>
              <w:tab w:val="right" w:leader="dot" w:pos="9016"/>
            </w:tabs>
            <w:rPr>
              <w:rFonts w:asciiTheme="minorHAnsi" w:eastAsiaTheme="minorEastAsia" w:hAnsiTheme="minorHAnsi"/>
              <w:noProof/>
              <w:lang w:eastAsia="en-GB"/>
            </w:rPr>
          </w:pPr>
          <w:hyperlink w:anchor="_Toc479283294" w:history="1">
            <w:r w:rsidR="008D4BF6" w:rsidRPr="00605D59">
              <w:rPr>
                <w:rStyle w:val="Hyperlink"/>
                <w:noProof/>
              </w:rPr>
              <w:t>Recording Decisions</w:t>
            </w:r>
            <w:r w:rsidR="008D4BF6">
              <w:rPr>
                <w:noProof/>
                <w:webHidden/>
              </w:rPr>
              <w:tab/>
            </w:r>
            <w:r w:rsidR="008D4BF6">
              <w:rPr>
                <w:noProof/>
                <w:webHidden/>
              </w:rPr>
              <w:fldChar w:fldCharType="begin"/>
            </w:r>
            <w:r w:rsidR="008D4BF6">
              <w:rPr>
                <w:noProof/>
                <w:webHidden/>
              </w:rPr>
              <w:instrText xml:space="preserve"> PAGEREF _Toc479283294 \h </w:instrText>
            </w:r>
            <w:r w:rsidR="008D4BF6">
              <w:rPr>
                <w:noProof/>
                <w:webHidden/>
              </w:rPr>
            </w:r>
            <w:r w:rsidR="008D4BF6">
              <w:rPr>
                <w:noProof/>
                <w:webHidden/>
              </w:rPr>
              <w:fldChar w:fldCharType="separate"/>
            </w:r>
            <w:r w:rsidR="008D4BF6">
              <w:rPr>
                <w:noProof/>
                <w:webHidden/>
              </w:rPr>
              <w:t>4</w:t>
            </w:r>
            <w:r w:rsidR="008D4BF6">
              <w:rPr>
                <w:noProof/>
                <w:webHidden/>
              </w:rPr>
              <w:fldChar w:fldCharType="end"/>
            </w:r>
          </w:hyperlink>
        </w:p>
        <w:p w14:paraId="23D3228B" w14:textId="77777777" w:rsidR="008D4BF6" w:rsidRDefault="00814C97">
          <w:pPr>
            <w:pStyle w:val="TOC1"/>
            <w:tabs>
              <w:tab w:val="right" w:leader="dot" w:pos="9016"/>
            </w:tabs>
            <w:rPr>
              <w:rFonts w:asciiTheme="minorHAnsi" w:eastAsiaTheme="minorEastAsia" w:hAnsiTheme="minorHAnsi"/>
              <w:noProof/>
              <w:lang w:eastAsia="en-GB"/>
            </w:rPr>
          </w:pPr>
          <w:hyperlink w:anchor="_Toc479283295" w:history="1">
            <w:r w:rsidR="008D4BF6" w:rsidRPr="00605D59">
              <w:rPr>
                <w:rStyle w:val="Hyperlink"/>
                <w:noProof/>
              </w:rPr>
              <w:t>Oversight of Decision Making</w:t>
            </w:r>
            <w:r w:rsidR="008D4BF6">
              <w:rPr>
                <w:noProof/>
                <w:webHidden/>
              </w:rPr>
              <w:tab/>
            </w:r>
            <w:r w:rsidR="008D4BF6">
              <w:rPr>
                <w:noProof/>
                <w:webHidden/>
              </w:rPr>
              <w:fldChar w:fldCharType="begin"/>
            </w:r>
            <w:r w:rsidR="008D4BF6">
              <w:rPr>
                <w:noProof/>
                <w:webHidden/>
              </w:rPr>
              <w:instrText xml:space="preserve"> PAGEREF _Toc479283295 \h </w:instrText>
            </w:r>
            <w:r w:rsidR="008D4BF6">
              <w:rPr>
                <w:noProof/>
                <w:webHidden/>
              </w:rPr>
            </w:r>
            <w:r w:rsidR="008D4BF6">
              <w:rPr>
                <w:noProof/>
                <w:webHidden/>
              </w:rPr>
              <w:fldChar w:fldCharType="separate"/>
            </w:r>
            <w:r w:rsidR="008D4BF6">
              <w:rPr>
                <w:noProof/>
                <w:webHidden/>
              </w:rPr>
              <w:t>5</w:t>
            </w:r>
            <w:r w:rsidR="008D4BF6">
              <w:rPr>
                <w:noProof/>
                <w:webHidden/>
              </w:rPr>
              <w:fldChar w:fldCharType="end"/>
            </w:r>
          </w:hyperlink>
        </w:p>
        <w:p w14:paraId="75E0ED95" w14:textId="77777777" w:rsidR="008D4BF6" w:rsidRDefault="00814C97">
          <w:pPr>
            <w:pStyle w:val="TOC1"/>
            <w:tabs>
              <w:tab w:val="right" w:leader="dot" w:pos="9016"/>
            </w:tabs>
            <w:rPr>
              <w:rFonts w:asciiTheme="minorHAnsi" w:eastAsiaTheme="minorEastAsia" w:hAnsiTheme="minorHAnsi"/>
              <w:noProof/>
              <w:lang w:eastAsia="en-GB"/>
            </w:rPr>
          </w:pPr>
          <w:hyperlink w:anchor="_Toc479283296" w:history="1">
            <w:r w:rsidR="008D4BF6" w:rsidRPr="00605D59">
              <w:rPr>
                <w:rStyle w:val="Hyperlink"/>
                <w:noProof/>
              </w:rPr>
              <w:t>Decision Making Matrix</w:t>
            </w:r>
            <w:r w:rsidR="008D4BF6">
              <w:rPr>
                <w:noProof/>
                <w:webHidden/>
              </w:rPr>
              <w:tab/>
            </w:r>
            <w:r w:rsidR="008D4BF6">
              <w:rPr>
                <w:noProof/>
                <w:webHidden/>
              </w:rPr>
              <w:fldChar w:fldCharType="begin"/>
            </w:r>
            <w:r w:rsidR="008D4BF6">
              <w:rPr>
                <w:noProof/>
                <w:webHidden/>
              </w:rPr>
              <w:instrText xml:space="preserve"> PAGEREF _Toc479283296 \h </w:instrText>
            </w:r>
            <w:r w:rsidR="008D4BF6">
              <w:rPr>
                <w:noProof/>
                <w:webHidden/>
              </w:rPr>
            </w:r>
            <w:r w:rsidR="008D4BF6">
              <w:rPr>
                <w:noProof/>
                <w:webHidden/>
              </w:rPr>
              <w:fldChar w:fldCharType="separate"/>
            </w:r>
            <w:r w:rsidR="008D4BF6">
              <w:rPr>
                <w:noProof/>
                <w:webHidden/>
              </w:rPr>
              <w:t>6</w:t>
            </w:r>
            <w:r w:rsidR="008D4BF6">
              <w:rPr>
                <w:noProof/>
                <w:webHidden/>
              </w:rPr>
              <w:fldChar w:fldCharType="end"/>
            </w:r>
          </w:hyperlink>
        </w:p>
        <w:p w14:paraId="16470CB9" w14:textId="1B710CB8" w:rsidR="005D3762" w:rsidRDefault="005D3762">
          <w:r>
            <w:rPr>
              <w:b/>
              <w:bCs/>
              <w:noProof/>
            </w:rPr>
            <w:fldChar w:fldCharType="end"/>
          </w:r>
        </w:p>
      </w:sdtContent>
    </w:sdt>
    <w:p w14:paraId="4841353E" w14:textId="6F25B98C" w:rsidR="00DA63D0" w:rsidRPr="00801BD3" w:rsidRDefault="00DA63D0" w:rsidP="005D3762">
      <w:pPr>
        <w:pStyle w:val="TOCHeading"/>
        <w:rPr>
          <w:rFonts w:cs="Arial"/>
          <w:b w:val="0"/>
          <w:bCs w:val="0"/>
          <w:sz w:val="22"/>
          <w:szCs w:val="22"/>
        </w:rPr>
      </w:pPr>
      <w:r w:rsidRPr="00801BD3">
        <w:rPr>
          <w:rFonts w:cs="Arial"/>
          <w:sz w:val="22"/>
          <w:szCs w:val="22"/>
        </w:rPr>
        <w:br w:type="page"/>
      </w:r>
    </w:p>
    <w:p w14:paraId="4841353F" w14:textId="67FBD851" w:rsidR="00D65C50" w:rsidRDefault="00D65C50" w:rsidP="008E7DED">
      <w:pPr>
        <w:pStyle w:val="Heading1"/>
      </w:pPr>
      <w:bookmarkStart w:id="2" w:name="_Toc479283289"/>
      <w:bookmarkEnd w:id="0"/>
      <w:r w:rsidRPr="001C0848">
        <w:lastRenderedPageBreak/>
        <w:t>Introduction</w:t>
      </w:r>
      <w:bookmarkEnd w:id="2"/>
    </w:p>
    <w:p w14:paraId="1499EB54" w14:textId="72208849" w:rsidR="00D1404C" w:rsidRPr="00A82173" w:rsidRDefault="00E01AE9" w:rsidP="00A82173">
      <w:pPr>
        <w:tabs>
          <w:tab w:val="left" w:pos="9026"/>
        </w:tabs>
        <w:ind w:right="-46"/>
        <w:jc w:val="both"/>
        <w:rPr>
          <w:rFonts w:cs="Arial"/>
          <w:color w:val="000000"/>
        </w:rPr>
      </w:pPr>
      <w:r w:rsidRPr="00E01AE9">
        <w:rPr>
          <w:rFonts w:cs="Arial"/>
          <w:color w:val="000000"/>
        </w:rPr>
        <w:t xml:space="preserve">This policy sets out the process for </w:t>
      </w:r>
      <w:r w:rsidR="00F9716C">
        <w:rPr>
          <w:rFonts w:cs="Arial"/>
          <w:color w:val="000000"/>
        </w:rPr>
        <w:t>decision making</w:t>
      </w:r>
      <w:r w:rsidRPr="00E01AE9">
        <w:rPr>
          <w:rFonts w:cs="Arial"/>
          <w:color w:val="000000"/>
        </w:rPr>
        <w:t xml:space="preserve"> by the Police and Crime Commissioner (the ‘Commissioner’) for Dyfed-Powys. It outlines the approach and principles for </w:t>
      </w:r>
      <w:r w:rsidR="00F9716C">
        <w:rPr>
          <w:rFonts w:cs="Arial"/>
          <w:color w:val="000000"/>
        </w:rPr>
        <w:t>decision making</w:t>
      </w:r>
      <w:r w:rsidRPr="00E01AE9">
        <w:rPr>
          <w:rFonts w:cs="Arial"/>
          <w:color w:val="000000"/>
        </w:rPr>
        <w:t xml:space="preserve"> together with providing information on how decisions will be recorded and published.</w:t>
      </w:r>
    </w:p>
    <w:p w14:paraId="4841355A" w14:textId="7465527D" w:rsidR="00D65C50" w:rsidRDefault="00A82173" w:rsidP="008E7DED">
      <w:pPr>
        <w:pStyle w:val="Heading1"/>
      </w:pPr>
      <w:bookmarkStart w:id="3" w:name="_Toc479283290"/>
      <w:r>
        <w:t>The Strategic Framework</w:t>
      </w:r>
      <w:bookmarkEnd w:id="3"/>
    </w:p>
    <w:p w14:paraId="48413562" w14:textId="17B86B07" w:rsidR="00581215" w:rsidRDefault="00A82173" w:rsidP="00C43939">
      <w:pPr>
        <w:rPr>
          <w:rFonts w:cs="Arial"/>
        </w:rPr>
      </w:pPr>
      <w:r>
        <w:rPr>
          <w:rFonts w:cs="Arial"/>
        </w:rPr>
        <w:t xml:space="preserve">Decisions taken by the Commissioner primarily arise from discharging statutory responsibilities. The statutory framework for </w:t>
      </w:r>
      <w:r w:rsidR="00F9716C">
        <w:rPr>
          <w:rFonts w:cs="Arial"/>
        </w:rPr>
        <w:t>decision making</w:t>
      </w:r>
      <w:r>
        <w:rPr>
          <w:rFonts w:cs="Arial"/>
        </w:rPr>
        <w:t xml:space="preserve"> by Commissioners includes:</w:t>
      </w:r>
    </w:p>
    <w:p w14:paraId="6E6E3A4F" w14:textId="19AFC271" w:rsidR="00A82173" w:rsidRDefault="00A82173" w:rsidP="00814A94">
      <w:pPr>
        <w:pStyle w:val="ListParagraph"/>
        <w:numPr>
          <w:ilvl w:val="0"/>
          <w:numId w:val="27"/>
        </w:numPr>
        <w:jc w:val="both"/>
        <w:rPr>
          <w:rFonts w:cs="Arial"/>
        </w:rPr>
      </w:pPr>
      <w:r>
        <w:rPr>
          <w:rFonts w:cs="Arial"/>
        </w:rPr>
        <w:t xml:space="preserve">The Police Reform and Social Responsibility Act 2011 which sets out the functions of Commissioners as a corporation sole and provides the legal framework for </w:t>
      </w:r>
      <w:r w:rsidR="00F9716C">
        <w:rPr>
          <w:rFonts w:cs="Arial"/>
        </w:rPr>
        <w:t>decision making</w:t>
      </w:r>
      <w:r>
        <w:rPr>
          <w:rFonts w:cs="Arial"/>
        </w:rPr>
        <w:t>;</w:t>
      </w:r>
    </w:p>
    <w:p w14:paraId="4C9536D9" w14:textId="35F04739" w:rsidR="00A82173" w:rsidRDefault="00A82173" w:rsidP="00814A94">
      <w:pPr>
        <w:pStyle w:val="ListParagraph"/>
        <w:numPr>
          <w:ilvl w:val="0"/>
          <w:numId w:val="27"/>
        </w:numPr>
        <w:jc w:val="both"/>
        <w:rPr>
          <w:rFonts w:cs="Arial"/>
        </w:rPr>
      </w:pPr>
      <w:r>
        <w:rPr>
          <w:rFonts w:cs="Arial"/>
        </w:rPr>
        <w:t xml:space="preserve">The Policing Protocol Order 2011 sets out the framework within which the Commissioner and Chief Constable should work. It requires all parties to abide by the Nolan </w:t>
      </w:r>
      <w:r w:rsidR="00F9651F">
        <w:rPr>
          <w:rFonts w:cs="Arial"/>
        </w:rPr>
        <w:t>P</w:t>
      </w:r>
      <w:r>
        <w:rPr>
          <w:rFonts w:cs="Arial"/>
        </w:rPr>
        <w:t>rinciples</w:t>
      </w:r>
      <w:r w:rsidR="00F9651F">
        <w:rPr>
          <w:rFonts w:cs="Arial"/>
        </w:rPr>
        <w:t xml:space="preserve"> of Public Life</w:t>
      </w:r>
      <w:r>
        <w:rPr>
          <w:rFonts w:cs="Arial"/>
        </w:rPr>
        <w:t>;</w:t>
      </w:r>
    </w:p>
    <w:p w14:paraId="4BB7B75A" w14:textId="541722CE" w:rsidR="00A82173" w:rsidRDefault="00A82173" w:rsidP="00814A94">
      <w:pPr>
        <w:pStyle w:val="ListParagraph"/>
        <w:numPr>
          <w:ilvl w:val="0"/>
          <w:numId w:val="27"/>
        </w:numPr>
        <w:jc w:val="both"/>
        <w:rPr>
          <w:rFonts w:cs="Arial"/>
        </w:rPr>
      </w:pPr>
      <w:r>
        <w:rPr>
          <w:rFonts w:cs="Arial"/>
        </w:rPr>
        <w:t>The Financial Management Code of Practice for the police service provides clarity around the financial governance arrangements and specifies the need to embed the principles of good governance into the way the OPCC operates;</w:t>
      </w:r>
    </w:p>
    <w:p w14:paraId="48969677" w14:textId="61FC3D43" w:rsidR="00A82173" w:rsidRDefault="00A82173" w:rsidP="00814A94">
      <w:pPr>
        <w:pStyle w:val="ListParagraph"/>
        <w:numPr>
          <w:ilvl w:val="0"/>
          <w:numId w:val="27"/>
        </w:numPr>
        <w:jc w:val="both"/>
        <w:rPr>
          <w:rFonts w:cs="Arial"/>
        </w:rPr>
      </w:pPr>
      <w:r>
        <w:rPr>
          <w:rFonts w:cs="Arial"/>
        </w:rPr>
        <w:t>The Police and Crime Commissioner Elections (Declaration of Acceptance of Office) Order 2012 requires the Commissioner to swear an oath of impartiality. It commits the Commissioner to serve local people without fear or favour and to set out publically their commitment</w:t>
      </w:r>
      <w:r w:rsidR="00814A94">
        <w:rPr>
          <w:rFonts w:cs="Arial"/>
        </w:rPr>
        <w:t xml:space="preserve"> to tackling their role with integrity, impartiality and fairness;</w:t>
      </w:r>
    </w:p>
    <w:p w14:paraId="4B6E4FE7" w14:textId="59C3C0F2" w:rsidR="00814A94" w:rsidRDefault="00814A94" w:rsidP="00814A94">
      <w:pPr>
        <w:pStyle w:val="ListParagraph"/>
        <w:numPr>
          <w:ilvl w:val="0"/>
          <w:numId w:val="27"/>
        </w:numPr>
        <w:jc w:val="both"/>
        <w:rPr>
          <w:rFonts w:cs="Arial"/>
        </w:rPr>
      </w:pPr>
      <w:r>
        <w:rPr>
          <w:rFonts w:cs="Arial"/>
        </w:rPr>
        <w:t>The Elected Local Policing Bodies (Specified Information) Order 2011 and the Elected Local Policing Bodies (Specified Information Amendment)</w:t>
      </w:r>
      <w:r w:rsidR="00907D75">
        <w:rPr>
          <w:rFonts w:cs="Arial"/>
        </w:rPr>
        <w:t xml:space="preserve"> </w:t>
      </w:r>
      <w:r>
        <w:rPr>
          <w:rFonts w:cs="Arial"/>
        </w:rPr>
        <w:t>Order</w:t>
      </w:r>
      <w:r w:rsidR="001B4199">
        <w:rPr>
          <w:rFonts w:cs="Arial"/>
        </w:rPr>
        <w:t>s</w:t>
      </w:r>
      <w:r>
        <w:rPr>
          <w:rFonts w:cs="Arial"/>
        </w:rPr>
        <w:t xml:space="preserve"> 2012</w:t>
      </w:r>
      <w:r w:rsidR="00F9651F">
        <w:rPr>
          <w:rFonts w:cs="Arial"/>
        </w:rPr>
        <w:t xml:space="preserve"> and 2013</w:t>
      </w:r>
      <w:r>
        <w:rPr>
          <w:rFonts w:cs="Arial"/>
        </w:rPr>
        <w:t xml:space="preserve"> specify the information that must be published by the Commissioner and includes specific reference to decisions. It sets out the timescales and requirements for recording and publication of decisions and related policies; and</w:t>
      </w:r>
    </w:p>
    <w:p w14:paraId="2EC9107F" w14:textId="0974032D" w:rsidR="00814A94" w:rsidRDefault="00814A94" w:rsidP="00814A94">
      <w:pPr>
        <w:pStyle w:val="ListParagraph"/>
        <w:numPr>
          <w:ilvl w:val="0"/>
          <w:numId w:val="27"/>
        </w:numPr>
        <w:jc w:val="both"/>
        <w:rPr>
          <w:rFonts w:cs="Arial"/>
        </w:rPr>
      </w:pPr>
      <w:r>
        <w:rPr>
          <w:rFonts w:cs="Arial"/>
        </w:rPr>
        <w:t>The statutory framework of the Information Orders, the Freedom of Information Act 2000 and the Data Protection Act 1998 set the minimum standards for publication.</w:t>
      </w:r>
    </w:p>
    <w:p w14:paraId="539B5761" w14:textId="52B5A3FA" w:rsidR="00814A94" w:rsidRPr="00814A94" w:rsidRDefault="00814A94" w:rsidP="00814A94">
      <w:pPr>
        <w:jc w:val="both"/>
        <w:rPr>
          <w:rFonts w:cs="Arial"/>
        </w:rPr>
      </w:pPr>
      <w:r>
        <w:rPr>
          <w:rFonts w:cs="Arial"/>
        </w:rPr>
        <w:t>The statutory requirements for the recording and publication of decisions focus on the need to achieve transparency and ensure integrity within the process. The Commissioner will adopt rigorous standards of probity, regularity and transparency when making decisions and all decisions will be taken solely in the public interest.</w:t>
      </w:r>
    </w:p>
    <w:p w14:paraId="48413563" w14:textId="2CBE04CF" w:rsidR="00D65C50" w:rsidRPr="00121CD8" w:rsidRDefault="00814A94" w:rsidP="008E7DED">
      <w:pPr>
        <w:pStyle w:val="Heading1"/>
      </w:pPr>
      <w:bookmarkStart w:id="4" w:name="_Toc479283291"/>
      <w:bookmarkStart w:id="5" w:name="_Toc392600586"/>
      <w:r>
        <w:t xml:space="preserve">Principles of </w:t>
      </w:r>
      <w:r w:rsidR="00F9716C">
        <w:t xml:space="preserve">Decision </w:t>
      </w:r>
      <w:r w:rsidR="00F9651F">
        <w:t>M</w:t>
      </w:r>
      <w:r w:rsidR="00F9716C">
        <w:t>aking</w:t>
      </w:r>
      <w:bookmarkEnd w:id="4"/>
    </w:p>
    <w:p w14:paraId="6E76C467" w14:textId="0FD94DEE" w:rsidR="00121CD8" w:rsidRDefault="00F9716C" w:rsidP="00907D75">
      <w:pPr>
        <w:pStyle w:val="ListParagraph"/>
        <w:numPr>
          <w:ilvl w:val="0"/>
          <w:numId w:val="27"/>
        </w:numPr>
        <w:jc w:val="both"/>
        <w:rPr>
          <w:rFonts w:cs="Arial"/>
        </w:rPr>
      </w:pPr>
      <w:r>
        <w:rPr>
          <w:rFonts w:cs="Arial"/>
          <w:b/>
        </w:rPr>
        <w:t>Decision making</w:t>
      </w:r>
      <w:r w:rsidR="00370DB9" w:rsidRPr="00907D75">
        <w:rPr>
          <w:rFonts w:cs="Arial"/>
          <w:b/>
        </w:rPr>
        <w:t xml:space="preserve"> will be transparent and well informed</w:t>
      </w:r>
      <w:r w:rsidR="00370DB9">
        <w:rPr>
          <w:rFonts w:cs="Arial"/>
        </w:rPr>
        <w:t>: Decisions will be taken based on good quality</w:t>
      </w:r>
      <w:r w:rsidR="00515346">
        <w:rPr>
          <w:rFonts w:cs="Arial"/>
        </w:rPr>
        <w:t xml:space="preserve"> and accurate</w:t>
      </w:r>
      <w:r w:rsidR="00370DB9">
        <w:rPr>
          <w:rFonts w:cs="Arial"/>
        </w:rPr>
        <w:t xml:space="preserve"> information and clear objective advice in order to reduce the risk of taking decisions that fail to achieve the Commissioner’s objectives</w:t>
      </w:r>
      <w:r w:rsidR="00907D75">
        <w:rPr>
          <w:rFonts w:cs="Arial"/>
        </w:rPr>
        <w:t xml:space="preserve"> or have unintended consequences. In order to make well informed decisions the Commissioner will give proper consideration to </w:t>
      </w:r>
      <w:r w:rsidR="00515346">
        <w:rPr>
          <w:rFonts w:cs="Arial"/>
        </w:rPr>
        <w:t xml:space="preserve">the views of </w:t>
      </w:r>
      <w:r w:rsidR="00907D75">
        <w:rPr>
          <w:rFonts w:cs="Arial"/>
        </w:rPr>
        <w:t>all relevant parties. The Commissioner will consider the appropriate means to consult in relation to any decision, which may include the Chief Constable and other members of the Policing Board, subject matter experts, partners and the public.</w:t>
      </w:r>
      <w:r w:rsidR="007E4949">
        <w:rPr>
          <w:rFonts w:cs="Arial"/>
        </w:rPr>
        <w:t xml:space="preserve"> The Commissioner will uphold the highest standards of integrity and honesty when taking decisions, as set out in the Nolan </w:t>
      </w:r>
      <w:r w:rsidR="00F9651F">
        <w:rPr>
          <w:rFonts w:cs="Arial"/>
        </w:rPr>
        <w:t>P</w:t>
      </w:r>
      <w:r w:rsidR="007E4949">
        <w:rPr>
          <w:rFonts w:cs="Arial"/>
        </w:rPr>
        <w:t>rinciples.</w:t>
      </w:r>
    </w:p>
    <w:p w14:paraId="3E0ED309" w14:textId="4FAF5B64" w:rsidR="00907D75" w:rsidRDefault="00907D75" w:rsidP="00907D75">
      <w:pPr>
        <w:pStyle w:val="ListParagraph"/>
        <w:numPr>
          <w:ilvl w:val="0"/>
          <w:numId w:val="27"/>
        </w:numPr>
        <w:jc w:val="both"/>
        <w:rPr>
          <w:rFonts w:cs="Arial"/>
        </w:rPr>
      </w:pPr>
      <w:r>
        <w:rPr>
          <w:rFonts w:cs="Arial"/>
          <w:b/>
        </w:rPr>
        <w:t xml:space="preserve">To have ‘due regard’ within the </w:t>
      </w:r>
      <w:r w:rsidR="00F9716C">
        <w:rPr>
          <w:rFonts w:cs="Arial"/>
          <w:b/>
        </w:rPr>
        <w:t>decision making</w:t>
      </w:r>
      <w:r w:rsidRPr="00400891">
        <w:rPr>
          <w:rFonts w:cs="Arial"/>
          <w:b/>
        </w:rPr>
        <w:t xml:space="preserve"> process</w:t>
      </w:r>
      <w:r>
        <w:rPr>
          <w:rFonts w:cs="Arial"/>
        </w:rPr>
        <w:t xml:space="preserve">: </w:t>
      </w:r>
      <w:r w:rsidR="004358C2">
        <w:rPr>
          <w:rFonts w:cs="Arial"/>
        </w:rPr>
        <w:t>The Police Reform and Social</w:t>
      </w:r>
      <w:r w:rsidR="00922753">
        <w:rPr>
          <w:rFonts w:cs="Arial"/>
        </w:rPr>
        <w:t xml:space="preserve"> Responsibility</w:t>
      </w:r>
      <w:r w:rsidR="004358C2">
        <w:rPr>
          <w:rFonts w:cs="Arial"/>
        </w:rPr>
        <w:t xml:space="preserve"> Act</w:t>
      </w:r>
      <w:r w:rsidR="00922753">
        <w:rPr>
          <w:rFonts w:cs="Arial"/>
        </w:rPr>
        <w:t xml:space="preserve"> 2011</w:t>
      </w:r>
      <w:r w:rsidR="004358C2">
        <w:rPr>
          <w:rFonts w:cs="Arial"/>
        </w:rPr>
        <w:t xml:space="preserve"> places a duty on the Commissioner, the Chief </w:t>
      </w:r>
      <w:r w:rsidR="00922753">
        <w:rPr>
          <w:rFonts w:cs="Arial"/>
        </w:rPr>
        <w:t>Constable, community safety and criminal justice partners to consider the plans and priorities of each organisation.</w:t>
      </w:r>
    </w:p>
    <w:p w14:paraId="2BA4EAA2" w14:textId="4B5AF3D6" w:rsidR="00F327BD" w:rsidRDefault="00F327BD" w:rsidP="00907D75">
      <w:pPr>
        <w:pStyle w:val="ListParagraph"/>
        <w:numPr>
          <w:ilvl w:val="0"/>
          <w:numId w:val="27"/>
        </w:numPr>
        <w:jc w:val="both"/>
        <w:rPr>
          <w:rFonts w:cs="Arial"/>
        </w:rPr>
      </w:pPr>
      <w:r>
        <w:rPr>
          <w:rFonts w:cs="Arial"/>
          <w:b/>
        </w:rPr>
        <w:t>Decisions will be lawful, reasonable, fair and proportionate</w:t>
      </w:r>
      <w:r w:rsidRPr="00F327BD">
        <w:rPr>
          <w:rFonts w:cs="Arial"/>
        </w:rPr>
        <w:t>:</w:t>
      </w:r>
      <w:r>
        <w:rPr>
          <w:rFonts w:cs="Arial"/>
        </w:rPr>
        <w:t xml:space="preserve"> The Commissioner will make use of his professional advisors</w:t>
      </w:r>
      <w:r w:rsidR="00F9651F">
        <w:rPr>
          <w:rFonts w:cs="Arial"/>
        </w:rPr>
        <w:t xml:space="preserve"> (OPCC staff, legal advisors etc.)</w:t>
      </w:r>
      <w:r>
        <w:rPr>
          <w:rFonts w:cs="Arial"/>
        </w:rPr>
        <w:t xml:space="preserve"> in </w:t>
      </w:r>
      <w:r w:rsidR="00F9716C">
        <w:rPr>
          <w:rFonts w:cs="Arial"/>
        </w:rPr>
        <w:t>decision making</w:t>
      </w:r>
      <w:r>
        <w:rPr>
          <w:rFonts w:cs="Arial"/>
        </w:rPr>
        <w:t>. He will take into consideration the impact of any decision on those who live and work in the Dyfed-Powys area and will give consideration to equality</w:t>
      </w:r>
      <w:r w:rsidR="006F1B6B">
        <w:rPr>
          <w:rFonts w:cs="Arial"/>
        </w:rPr>
        <w:t xml:space="preserve"> (including the Welsh language)</w:t>
      </w:r>
      <w:r>
        <w:rPr>
          <w:rFonts w:cs="Arial"/>
        </w:rPr>
        <w:t xml:space="preserve"> and human rights issues as appropriate. He will make decisions with a view to achieving value for money.</w:t>
      </w:r>
    </w:p>
    <w:p w14:paraId="14909E43" w14:textId="7D57BF89" w:rsidR="00F327BD" w:rsidRPr="00D65C50" w:rsidRDefault="00F327BD" w:rsidP="00907D75">
      <w:pPr>
        <w:pStyle w:val="ListParagraph"/>
        <w:numPr>
          <w:ilvl w:val="0"/>
          <w:numId w:val="27"/>
        </w:numPr>
        <w:jc w:val="both"/>
        <w:rPr>
          <w:rFonts w:cs="Arial"/>
        </w:rPr>
      </w:pPr>
      <w:r>
        <w:rPr>
          <w:rFonts w:cs="Arial"/>
          <w:b/>
        </w:rPr>
        <w:t>All decisions of significant public interest will be recorded and published</w:t>
      </w:r>
      <w:r w:rsidRPr="00F327BD">
        <w:rPr>
          <w:rFonts w:cs="Arial"/>
        </w:rPr>
        <w:t>:</w:t>
      </w:r>
      <w:r>
        <w:rPr>
          <w:rFonts w:cs="Arial"/>
        </w:rPr>
        <w:t xml:space="preserve"> </w:t>
      </w:r>
      <w:r w:rsidR="00AF07DE">
        <w:rPr>
          <w:rFonts w:cs="Arial"/>
        </w:rPr>
        <w:t xml:space="preserve">The statutory requirement for the recording and publishing of decisions is set out in the Information Orders. There will be occasions when some information has to remain confidential, e.g. matters of national security, safety of individuals or information which might prejudice the administration of justice. The Commissioner will give careful consideration before determining that information is confidential. The principles of Freedom of Information </w:t>
      </w:r>
      <w:r w:rsidR="00631B03">
        <w:rPr>
          <w:rFonts w:cs="Arial"/>
        </w:rPr>
        <w:t xml:space="preserve">(FOI) </w:t>
      </w:r>
      <w:r w:rsidR="00AF07DE">
        <w:rPr>
          <w:rFonts w:cs="Arial"/>
        </w:rPr>
        <w:t>will be followed.</w:t>
      </w:r>
    </w:p>
    <w:p w14:paraId="4FCEDB3C" w14:textId="31CDD84A" w:rsidR="00A542E4" w:rsidRPr="003B743A" w:rsidRDefault="00F9716C" w:rsidP="00A542E4">
      <w:pPr>
        <w:pStyle w:val="Heading1"/>
      </w:pPr>
      <w:bookmarkStart w:id="6" w:name="_Toc479283292"/>
      <w:r>
        <w:t xml:space="preserve">Decision </w:t>
      </w:r>
      <w:r w:rsidR="00F9651F">
        <w:t>M</w:t>
      </w:r>
      <w:r>
        <w:t>aking</w:t>
      </w:r>
      <w:r w:rsidR="00A542E4">
        <w:t xml:space="preserve"> </w:t>
      </w:r>
      <w:r w:rsidR="00F9651F">
        <w:t>P</w:t>
      </w:r>
      <w:r w:rsidR="00A542E4">
        <w:t>rocess</w:t>
      </w:r>
      <w:bookmarkEnd w:id="6"/>
    </w:p>
    <w:p w14:paraId="1F49AD42" w14:textId="77777777" w:rsidR="00A37E42" w:rsidRDefault="00A37E42">
      <w:pPr>
        <w:rPr>
          <w:rFonts w:cs="Arial"/>
        </w:rPr>
      </w:pPr>
      <w:r w:rsidRPr="00A37E42">
        <w:rPr>
          <w:rFonts w:cs="Arial"/>
        </w:rPr>
        <w:t>The</w:t>
      </w:r>
      <w:r>
        <w:rPr>
          <w:rFonts w:cs="Arial"/>
        </w:rPr>
        <w:t xml:space="preserve"> key to achieving well informed decisions is through a consistent application of a sound process, which includes:</w:t>
      </w:r>
    </w:p>
    <w:p w14:paraId="2AB752F2" w14:textId="3EBBB075" w:rsidR="00BB65C9" w:rsidRDefault="00A37E42" w:rsidP="00A37E42">
      <w:pPr>
        <w:pStyle w:val="ListParagraph"/>
        <w:numPr>
          <w:ilvl w:val="0"/>
          <w:numId w:val="29"/>
        </w:numPr>
        <w:rPr>
          <w:rFonts w:cs="Arial"/>
        </w:rPr>
      </w:pPr>
      <w:r>
        <w:rPr>
          <w:rFonts w:cs="Arial"/>
        </w:rPr>
        <w:t>Establishing all relevant and material facts;</w:t>
      </w:r>
    </w:p>
    <w:p w14:paraId="4D653554" w14:textId="17BB05A3" w:rsidR="00A37E42" w:rsidRDefault="00A37E42" w:rsidP="00A37E42">
      <w:pPr>
        <w:pStyle w:val="ListParagraph"/>
        <w:numPr>
          <w:ilvl w:val="0"/>
          <w:numId w:val="29"/>
        </w:numPr>
        <w:rPr>
          <w:rFonts w:cs="Arial"/>
        </w:rPr>
      </w:pPr>
      <w:r>
        <w:rPr>
          <w:rFonts w:cs="Arial"/>
        </w:rPr>
        <w:t>Consulting with all interested and affected parties;</w:t>
      </w:r>
    </w:p>
    <w:p w14:paraId="416D4348" w14:textId="7F975FED" w:rsidR="00A37E42" w:rsidRDefault="00A37E42" w:rsidP="00A37E42">
      <w:pPr>
        <w:pStyle w:val="ListParagraph"/>
        <w:numPr>
          <w:ilvl w:val="0"/>
          <w:numId w:val="29"/>
        </w:numPr>
        <w:rPr>
          <w:rFonts w:cs="Arial"/>
        </w:rPr>
      </w:pPr>
      <w:r>
        <w:rPr>
          <w:rFonts w:cs="Arial"/>
        </w:rPr>
        <w:t>Consider</w:t>
      </w:r>
      <w:r w:rsidR="00631B03">
        <w:rPr>
          <w:rFonts w:cs="Arial"/>
        </w:rPr>
        <w:t>ing</w:t>
      </w:r>
      <w:r>
        <w:rPr>
          <w:rFonts w:cs="Arial"/>
        </w:rPr>
        <w:t xml:space="preserve"> all reasonable courses of action open to the Commissioner;</w:t>
      </w:r>
    </w:p>
    <w:p w14:paraId="7CD407F1" w14:textId="69E8C866" w:rsidR="00A37E42" w:rsidRDefault="00A37E42" w:rsidP="00A37E42">
      <w:pPr>
        <w:pStyle w:val="ListParagraph"/>
        <w:numPr>
          <w:ilvl w:val="0"/>
          <w:numId w:val="29"/>
        </w:numPr>
        <w:rPr>
          <w:rFonts w:cs="Arial"/>
        </w:rPr>
      </w:pPr>
      <w:r>
        <w:rPr>
          <w:rFonts w:cs="Arial"/>
        </w:rPr>
        <w:t>Seek</w:t>
      </w:r>
      <w:r w:rsidR="00631B03">
        <w:rPr>
          <w:rFonts w:cs="Arial"/>
        </w:rPr>
        <w:t>ing</w:t>
      </w:r>
      <w:r>
        <w:rPr>
          <w:rFonts w:cs="Arial"/>
        </w:rPr>
        <w:t xml:space="preserve"> appropriate specialist advice;</w:t>
      </w:r>
    </w:p>
    <w:p w14:paraId="096CD774" w14:textId="0831AA56" w:rsidR="00A37E42" w:rsidRDefault="00A37E42" w:rsidP="00A37E42">
      <w:pPr>
        <w:pStyle w:val="ListParagraph"/>
        <w:numPr>
          <w:ilvl w:val="0"/>
          <w:numId w:val="29"/>
        </w:numPr>
        <w:rPr>
          <w:rFonts w:cs="Arial"/>
        </w:rPr>
      </w:pPr>
      <w:r>
        <w:rPr>
          <w:rFonts w:cs="Arial"/>
        </w:rPr>
        <w:t>Consider</w:t>
      </w:r>
      <w:r w:rsidR="00631B03">
        <w:rPr>
          <w:rFonts w:cs="Arial"/>
        </w:rPr>
        <w:t>ing</w:t>
      </w:r>
      <w:r>
        <w:rPr>
          <w:rFonts w:cs="Arial"/>
        </w:rPr>
        <w:t xml:space="preserve"> risk, performance and financial information; and</w:t>
      </w:r>
    </w:p>
    <w:p w14:paraId="151DFD8F" w14:textId="2E5DE7F1" w:rsidR="00A37E42" w:rsidRDefault="00A37E42" w:rsidP="00A37E42">
      <w:pPr>
        <w:pStyle w:val="ListParagraph"/>
        <w:numPr>
          <w:ilvl w:val="0"/>
          <w:numId w:val="29"/>
        </w:numPr>
        <w:rPr>
          <w:rFonts w:cs="Arial"/>
        </w:rPr>
      </w:pPr>
      <w:r>
        <w:rPr>
          <w:rFonts w:cs="Arial"/>
        </w:rPr>
        <w:t xml:space="preserve">Ensuring value for money is </w:t>
      </w:r>
      <w:r w:rsidR="00515346">
        <w:rPr>
          <w:rFonts w:cs="Arial"/>
        </w:rPr>
        <w:t>achieved</w:t>
      </w:r>
      <w:r>
        <w:rPr>
          <w:rFonts w:cs="Arial"/>
        </w:rPr>
        <w:t>.</w:t>
      </w:r>
    </w:p>
    <w:p w14:paraId="02DA87FB" w14:textId="5A3CD82C" w:rsidR="00A37E42" w:rsidRPr="00A37E42" w:rsidRDefault="00A37E42" w:rsidP="00A37E42">
      <w:pPr>
        <w:jc w:val="both"/>
        <w:rPr>
          <w:rFonts w:cs="Arial"/>
        </w:rPr>
      </w:pPr>
      <w:r>
        <w:rPr>
          <w:rFonts w:cs="Arial"/>
        </w:rPr>
        <w:t xml:space="preserve">Decisions will range from single, internally focussed, low impact decisions through to those of significant public interest, consequences and cost. This sliding scale of </w:t>
      </w:r>
      <w:r w:rsidR="00F9716C">
        <w:rPr>
          <w:rFonts w:cs="Arial"/>
        </w:rPr>
        <w:t>decision making</w:t>
      </w:r>
      <w:r>
        <w:rPr>
          <w:rFonts w:cs="Arial"/>
        </w:rPr>
        <w:t xml:space="preserve"> will usually demand a relat</w:t>
      </w:r>
      <w:r w:rsidR="00515346">
        <w:rPr>
          <w:rFonts w:cs="Arial"/>
        </w:rPr>
        <w:t>ive?</w:t>
      </w:r>
      <w:r>
        <w:rPr>
          <w:rFonts w:cs="Arial"/>
        </w:rPr>
        <w:t xml:space="preserve"> and proportionate scale in the amount of information, advice, support, challenge, scrutiny and consultation given in advance of, and following the decision.</w:t>
      </w:r>
    </w:p>
    <w:p w14:paraId="484135A3" w14:textId="5EC21F43" w:rsidR="00D65C50" w:rsidRDefault="002526C9" w:rsidP="008E7DED">
      <w:pPr>
        <w:pStyle w:val="Heading1"/>
      </w:pPr>
      <w:bookmarkStart w:id="7" w:name="_Toc479283293"/>
      <w:r>
        <w:t xml:space="preserve">Delegations for </w:t>
      </w:r>
      <w:r w:rsidR="00F9716C">
        <w:t xml:space="preserve">Decision </w:t>
      </w:r>
      <w:r w:rsidR="00034245">
        <w:t>M</w:t>
      </w:r>
      <w:r w:rsidR="00F9716C">
        <w:t>aking</w:t>
      </w:r>
      <w:bookmarkEnd w:id="7"/>
    </w:p>
    <w:p w14:paraId="484135A4" w14:textId="4406804D" w:rsidR="000142FA" w:rsidRPr="00F9716C" w:rsidRDefault="002526C9" w:rsidP="00F9716C">
      <w:pPr>
        <w:jc w:val="both"/>
      </w:pPr>
      <w:r>
        <w:t xml:space="preserve">The Corporate Governance Framework sets out the parameters for decisions delegated to both the Commissioner’s staff and </w:t>
      </w:r>
      <w:r w:rsidR="00F73DB3">
        <w:t>P</w:t>
      </w:r>
      <w:r>
        <w:t>olice personnel. This also covers consents, financial regulations and standing orders relating to contracts.</w:t>
      </w:r>
    </w:p>
    <w:p w14:paraId="2A6F7B63" w14:textId="5E176651" w:rsidR="002526C9" w:rsidRDefault="00F9716C" w:rsidP="002526C9">
      <w:pPr>
        <w:pStyle w:val="Heading1"/>
      </w:pPr>
      <w:bookmarkStart w:id="8" w:name="_Toc479283294"/>
      <w:r>
        <w:t xml:space="preserve">Recording </w:t>
      </w:r>
      <w:r w:rsidR="00034245">
        <w:t>D</w:t>
      </w:r>
      <w:r>
        <w:t>ecisions</w:t>
      </w:r>
      <w:bookmarkEnd w:id="8"/>
    </w:p>
    <w:p w14:paraId="5B3967F9" w14:textId="4F7A0A6A" w:rsidR="00F9716C" w:rsidRDefault="00F9716C" w:rsidP="00F9716C">
      <w:pPr>
        <w:jc w:val="both"/>
      </w:pPr>
      <w:r>
        <w:t xml:space="preserve">To ensure the Commissioner adheres to the principles of openness and transparency the information used to inform the decision making process will be recorded in documents and reports. </w:t>
      </w:r>
      <w:r w:rsidR="00B807E9">
        <w:t xml:space="preserve">Decisions will also be taken during Policing Board and Policing Accountability Board following detailed discussions with the Chief Constable. Such decisions will be documented in the Minutes of the meetings and will be publically available. All decisions are scrutinised by the Police and Crime Panel on a quarterly basis. </w:t>
      </w:r>
    </w:p>
    <w:p w14:paraId="12255296" w14:textId="6A400AB1" w:rsidR="00B75EE0" w:rsidRDefault="00B75EE0" w:rsidP="00F9716C">
      <w:pPr>
        <w:jc w:val="both"/>
      </w:pPr>
      <w:r>
        <w:t xml:space="preserve">The Commissioner’s publication scheme, which includes the requirement of the Information Orders, will be met in respect of the making and </w:t>
      </w:r>
      <w:r w:rsidR="00034245">
        <w:t xml:space="preserve">timely </w:t>
      </w:r>
      <w:r>
        <w:t xml:space="preserve">recording of decisions, including </w:t>
      </w:r>
      <w:r w:rsidR="00853616">
        <w:t xml:space="preserve">all </w:t>
      </w:r>
      <w:r>
        <w:t>decisions of significant public interest.</w:t>
      </w:r>
    </w:p>
    <w:p w14:paraId="298AEE3B" w14:textId="532186CD" w:rsidR="00B75EE0" w:rsidRDefault="00B75EE0" w:rsidP="00F9716C">
      <w:pPr>
        <w:jc w:val="both"/>
      </w:pPr>
      <w:r>
        <w:t>The definition of decisions of significant public interest must be determined in the relevant facts, on a case by case basis. They may include decisions made by the Commissioner</w:t>
      </w:r>
      <w:r w:rsidR="00515346">
        <w:t xml:space="preserve"> that</w:t>
      </w:r>
      <w:r>
        <w:t>:</w:t>
      </w:r>
    </w:p>
    <w:p w14:paraId="5CEC200E" w14:textId="18F87B13" w:rsidR="00B75EE0" w:rsidRDefault="00853616" w:rsidP="00B75EE0">
      <w:pPr>
        <w:pStyle w:val="ListParagraph"/>
        <w:numPr>
          <w:ilvl w:val="0"/>
          <w:numId w:val="30"/>
        </w:numPr>
        <w:jc w:val="both"/>
      </w:pPr>
      <w:r>
        <w:t xml:space="preserve">Significantly </w:t>
      </w:r>
      <w:r w:rsidR="00B75EE0">
        <w:t>affect</w:t>
      </w:r>
      <w:r w:rsidR="00515346">
        <w:t>s</w:t>
      </w:r>
      <w:r w:rsidR="00B75EE0">
        <w:t xml:space="preserve"> service delivery to the communities of Dyfed-Powys;</w:t>
      </w:r>
    </w:p>
    <w:p w14:paraId="595CFD2C" w14:textId="3C2FE860" w:rsidR="00B75EE0" w:rsidRDefault="00853616" w:rsidP="00B75EE0">
      <w:pPr>
        <w:pStyle w:val="ListParagraph"/>
        <w:numPr>
          <w:ilvl w:val="0"/>
          <w:numId w:val="30"/>
        </w:numPr>
        <w:jc w:val="both"/>
      </w:pPr>
      <w:r>
        <w:t xml:space="preserve">Significantly </w:t>
      </w:r>
      <w:r w:rsidR="00B75EE0">
        <w:t>affect</w:t>
      </w:r>
      <w:r w:rsidR="00515346">
        <w:t>s</w:t>
      </w:r>
      <w:r w:rsidR="00B75EE0">
        <w:t xml:space="preserve"> the performance of the Force against the priorities of the Police and Crime Plan;</w:t>
      </w:r>
    </w:p>
    <w:p w14:paraId="1D59711C" w14:textId="02FB8FDF" w:rsidR="00B75EE0" w:rsidRDefault="00515346" w:rsidP="00B75EE0">
      <w:pPr>
        <w:pStyle w:val="ListParagraph"/>
        <w:numPr>
          <w:ilvl w:val="0"/>
          <w:numId w:val="30"/>
        </w:numPr>
        <w:jc w:val="both"/>
      </w:pPr>
      <w:r>
        <w:t>R</w:t>
      </w:r>
      <w:r w:rsidR="00B75EE0">
        <w:t>equir</w:t>
      </w:r>
      <w:r>
        <w:t>es</w:t>
      </w:r>
      <w:r w:rsidR="00B75EE0">
        <w:t xml:space="preserve"> expenditure outside of the Capital and Revenue Budget for the year;</w:t>
      </w:r>
    </w:p>
    <w:p w14:paraId="54F35BB8" w14:textId="0C618258" w:rsidR="00B75EE0" w:rsidRDefault="00515346" w:rsidP="00B75EE0">
      <w:pPr>
        <w:pStyle w:val="ListParagraph"/>
        <w:numPr>
          <w:ilvl w:val="0"/>
          <w:numId w:val="30"/>
        </w:numPr>
        <w:jc w:val="both"/>
      </w:pPr>
      <w:r>
        <w:t xml:space="preserve">Relates to </w:t>
      </w:r>
      <w:r w:rsidR="00B75EE0">
        <w:t>expenditure above the limits in respect of delegations to officers set out in the Corporate Governance Framework;</w:t>
      </w:r>
    </w:p>
    <w:p w14:paraId="39D24940" w14:textId="13D21DBF" w:rsidR="00B75EE0" w:rsidRDefault="00515346" w:rsidP="00B75EE0">
      <w:pPr>
        <w:pStyle w:val="ListParagraph"/>
        <w:numPr>
          <w:ilvl w:val="0"/>
          <w:numId w:val="30"/>
        </w:numPr>
        <w:jc w:val="both"/>
      </w:pPr>
      <w:r>
        <w:t xml:space="preserve">Relates </w:t>
      </w:r>
      <w:r w:rsidR="00B75EE0">
        <w:t xml:space="preserve"> to the Chief Constable and senior officers within the Office for Police and Crime Commissioner</w:t>
      </w:r>
      <w:r w:rsidR="0099661D">
        <w:t xml:space="preserve"> (OPCC)</w:t>
      </w:r>
      <w:r w:rsidR="00B75EE0">
        <w:t>;</w:t>
      </w:r>
    </w:p>
    <w:p w14:paraId="7F774EB9" w14:textId="09DF44EF" w:rsidR="00B75EE0" w:rsidRDefault="00515346" w:rsidP="00B75EE0">
      <w:pPr>
        <w:pStyle w:val="ListParagraph"/>
        <w:numPr>
          <w:ilvl w:val="0"/>
          <w:numId w:val="30"/>
        </w:numPr>
        <w:jc w:val="both"/>
      </w:pPr>
      <w:r>
        <w:t xml:space="preserve">Relates </w:t>
      </w:r>
      <w:r w:rsidR="00B75EE0">
        <w:t>to the structure of the O</w:t>
      </w:r>
      <w:r w:rsidR="0099661D">
        <w:t>PCC</w:t>
      </w:r>
      <w:r w:rsidR="00B75EE0">
        <w:t>; and</w:t>
      </w:r>
    </w:p>
    <w:p w14:paraId="1F13FBEE" w14:textId="0D6486CE" w:rsidR="00B75EE0" w:rsidRPr="00F9716C" w:rsidRDefault="00515346" w:rsidP="00B75EE0">
      <w:pPr>
        <w:pStyle w:val="ListParagraph"/>
        <w:numPr>
          <w:ilvl w:val="0"/>
          <w:numId w:val="30"/>
        </w:numPr>
        <w:jc w:val="both"/>
      </w:pPr>
      <w:r>
        <w:t xml:space="preserve">is considered </w:t>
      </w:r>
      <w:r w:rsidR="00B75EE0">
        <w:t>to be of significant public interest</w:t>
      </w:r>
      <w:r w:rsidR="00853616">
        <w:t>. In determining this, consider media interest / complaints / potential for FOIs)</w:t>
      </w:r>
      <w:r w:rsidR="00B75EE0">
        <w:t>.</w:t>
      </w:r>
    </w:p>
    <w:p w14:paraId="65660D4A" w14:textId="77777777" w:rsidR="00853616" w:rsidRDefault="00853616" w:rsidP="0098395E">
      <w:pPr>
        <w:jc w:val="both"/>
        <w:rPr>
          <w:rFonts w:eastAsiaTheme="majorEastAsia" w:cstheme="majorBidi"/>
          <w:b/>
          <w:bCs/>
          <w:color w:val="365F91" w:themeColor="accent1" w:themeShade="BF"/>
          <w:sz w:val="28"/>
          <w:szCs w:val="28"/>
        </w:rPr>
      </w:pPr>
    </w:p>
    <w:p w14:paraId="1C42CA21" w14:textId="3DBF4FD8" w:rsidR="00853616" w:rsidRPr="00663CD2" w:rsidRDefault="00853616" w:rsidP="0098395E">
      <w:pPr>
        <w:jc w:val="both"/>
        <w:rPr>
          <w:rFonts w:eastAsiaTheme="majorEastAsia" w:cstheme="majorBidi"/>
          <w:b/>
          <w:bCs/>
          <w:color w:val="365F91" w:themeColor="accent1" w:themeShade="BF"/>
          <w:sz w:val="28"/>
          <w:szCs w:val="28"/>
        </w:rPr>
      </w:pPr>
      <w:r w:rsidRPr="00663CD2">
        <w:rPr>
          <w:rFonts w:eastAsiaTheme="majorEastAsia" w:cstheme="majorBidi"/>
          <w:b/>
          <w:bCs/>
          <w:color w:val="365F91" w:themeColor="accent1" w:themeShade="BF"/>
          <w:sz w:val="28"/>
          <w:szCs w:val="28"/>
        </w:rPr>
        <w:t>Publishing Decisions</w:t>
      </w:r>
    </w:p>
    <w:p w14:paraId="732696AE" w14:textId="54483964" w:rsidR="002526C9" w:rsidRDefault="0098395E" w:rsidP="0098395E">
      <w:pPr>
        <w:jc w:val="both"/>
      </w:pPr>
      <w:r w:rsidRPr="0098395E">
        <w:t>The key criteria to determine whether a decision should be published is its relevance to the fundamental duty of the Commissioner to ensure that the Police Force</w:t>
      </w:r>
      <w:r w:rsidR="00224E3C">
        <w:t>, his Office and commissioned services are</w:t>
      </w:r>
      <w:r w:rsidRPr="0098395E">
        <w:t xml:space="preserve">  efficient and effecti</w:t>
      </w:r>
      <w:r w:rsidR="00663CD2">
        <w:t>ve</w:t>
      </w:r>
      <w:r w:rsidRPr="0098395E">
        <w:t xml:space="preserve"> and the obligation of the Commissioner to obtain the views of the community on policing and his role as their elected representative.</w:t>
      </w:r>
    </w:p>
    <w:p w14:paraId="68C4C7C7" w14:textId="2E3ECD91" w:rsidR="00663CD2" w:rsidRDefault="00663CD2" w:rsidP="0098395E">
      <w:pPr>
        <w:jc w:val="both"/>
      </w:pPr>
      <w:r>
        <w:t>It is the responsibility of the OPCC Advisor leading on a matter to ensure that a decision log is completed when necessary.</w:t>
      </w:r>
    </w:p>
    <w:p w14:paraId="5A2824EF" w14:textId="37445A87" w:rsidR="00044C2C" w:rsidRDefault="00044C2C" w:rsidP="0098395E">
      <w:pPr>
        <w:jc w:val="both"/>
      </w:pPr>
      <w:r>
        <w:t xml:space="preserve">The Chief of Staff will </w:t>
      </w:r>
      <w:r w:rsidR="00663CD2">
        <w:t xml:space="preserve">maintain oversight to ensure </w:t>
      </w:r>
      <w:r>
        <w:t xml:space="preserve">that a record of each decision is made and all associated information </w:t>
      </w:r>
      <w:r w:rsidR="00515346">
        <w:t xml:space="preserve">is </w:t>
      </w:r>
      <w:r>
        <w:t>retained. In addition the Chief of Staff will ensure that once decisions are taken by the Commissioner, they are effectively communicated both internally and externally and, in particular, to ensure that appropriate action is taken to ensure implementation.</w:t>
      </w:r>
    </w:p>
    <w:p w14:paraId="2C07378D" w14:textId="1679E7D2" w:rsidR="008A35CE" w:rsidRDefault="00044C2C" w:rsidP="0098395E">
      <w:pPr>
        <w:jc w:val="both"/>
      </w:pPr>
      <w:r>
        <w:t>The Commissioner will publish decisions in accordance with the statutory requirements on the OPCC website.</w:t>
      </w:r>
      <w:r w:rsidR="008A35CE">
        <w:t xml:space="preserve"> Additionally media releases, social media and public meeting</w:t>
      </w:r>
      <w:r w:rsidR="00F6399E">
        <w:t>s</w:t>
      </w:r>
      <w:r w:rsidR="008A35CE">
        <w:t xml:space="preserve"> will be utilised to publicise decisions, dependent on the public interest relating to each individual decision.</w:t>
      </w:r>
      <w:r>
        <w:t xml:space="preserve"> </w:t>
      </w:r>
    </w:p>
    <w:p w14:paraId="5EA9BC39" w14:textId="165A7472" w:rsidR="008A35CE" w:rsidRDefault="00044C2C" w:rsidP="008A35CE">
      <w:pPr>
        <w:jc w:val="both"/>
      </w:pPr>
      <w:r>
        <w:t xml:space="preserve">To ensure compliance with the Welsh Language Standards, the author of the decision log will ensure that the document is </w:t>
      </w:r>
      <w:r w:rsidR="00F6399E">
        <w:t xml:space="preserve">published simultaneously </w:t>
      </w:r>
      <w:r>
        <w:t xml:space="preserve">in English and Welsh.  </w:t>
      </w:r>
    </w:p>
    <w:p w14:paraId="30A6C00F" w14:textId="4073C2D9" w:rsidR="008A35CE" w:rsidRDefault="00AE3386" w:rsidP="008A35CE">
      <w:pPr>
        <w:pStyle w:val="Heading1"/>
      </w:pPr>
      <w:bookmarkStart w:id="9" w:name="_Toc479283295"/>
      <w:r>
        <w:t>Oversight of</w:t>
      </w:r>
      <w:r w:rsidR="008A35CE">
        <w:t xml:space="preserve"> Decision </w:t>
      </w:r>
      <w:r w:rsidR="00F6399E">
        <w:t>M</w:t>
      </w:r>
      <w:r w:rsidR="008A35CE">
        <w:t>aking</w:t>
      </w:r>
      <w:bookmarkEnd w:id="9"/>
    </w:p>
    <w:p w14:paraId="672C503F" w14:textId="74181F79" w:rsidR="008A35CE" w:rsidRDefault="008A35CE" w:rsidP="008A35CE">
      <w:pPr>
        <w:jc w:val="both"/>
      </w:pPr>
      <w:r>
        <w:t xml:space="preserve">The OPCC statutory officers – the Chief of Staff and Monitoring Officer and the Chief Finance Officer – have a statutory responsibility for identifying contraventions and any deviation from the core principles of good governance. The statutory officers will therefore </w:t>
      </w:r>
      <w:r w:rsidR="00515346">
        <w:t xml:space="preserve">act as </w:t>
      </w:r>
      <w:r>
        <w:t>gatekeeper</w:t>
      </w:r>
      <w:r w:rsidR="00515346">
        <w:t>s</w:t>
      </w:r>
      <w:r>
        <w:t xml:space="preserve"> for ensuring this policy and its principles are implemented. As such, all decision logs must be reviewed by either the Chief of Staff and Monitoring Officer or the Chief Finance Officer prior to final sign off by the Commissioner</w:t>
      </w:r>
      <w:r w:rsidR="005037E3">
        <w:t>. The statutory officers must report anything which gives rise to concern over a decision.</w:t>
      </w:r>
    </w:p>
    <w:p w14:paraId="3998E588" w14:textId="42C4EBB5" w:rsidR="005037E3" w:rsidRDefault="005037E3" w:rsidP="008A35CE">
      <w:pPr>
        <w:jc w:val="both"/>
      </w:pPr>
      <w:r>
        <w:t>The Police Reform and Social Responsibility Act 2011 establishes the role of the Police and Crime Panel, which has the responsibility to review and scrutinise decisions taken by the Commissioner. A summary of decisions will be provided to the Police and Crime Panel on a quarterly basis.</w:t>
      </w:r>
    </w:p>
    <w:p w14:paraId="57D963B4" w14:textId="79E419A6" w:rsidR="005037E3" w:rsidRDefault="005037E3" w:rsidP="008A35CE">
      <w:pPr>
        <w:jc w:val="both"/>
      </w:pPr>
      <w:r>
        <w:t>Should an allegation of maladministration be made, the Police Reform and Social Responsibility Act 2011 allows for the Commissioner to be investigated by the Commissioner for Local Administration in Wales under the provision of section 25 of the Local Government Act 1974.</w:t>
      </w:r>
    </w:p>
    <w:p w14:paraId="45486E88" w14:textId="77777777" w:rsidR="00AE3386" w:rsidRPr="007F3197" w:rsidRDefault="00AE3386" w:rsidP="008D4BF6">
      <w:pPr>
        <w:pStyle w:val="Heading1"/>
      </w:pPr>
      <w:bookmarkStart w:id="10" w:name="_Toc479283296"/>
      <w:r w:rsidRPr="007F3197">
        <w:t>Decision Making Matrix</w:t>
      </w:r>
      <w:bookmarkEnd w:id="10"/>
    </w:p>
    <w:p w14:paraId="1F4D0A3A" w14:textId="5E2DB59F" w:rsidR="00631B03" w:rsidRDefault="00631B03" w:rsidP="00631B03">
      <w:pPr>
        <w:jc w:val="both"/>
      </w:pPr>
      <w:r>
        <w:t>The below matrix should be consulted when considering if a decision requires recording and publishing through a decision log.</w:t>
      </w:r>
    </w:p>
    <w:p w14:paraId="2BC4AFF9" w14:textId="77777777" w:rsidR="008A35CE" w:rsidRDefault="008A35CE" w:rsidP="008A35CE">
      <w:pPr>
        <w:jc w:val="both"/>
      </w:pPr>
    </w:p>
    <w:p w14:paraId="339FBC9F" w14:textId="77777777" w:rsidR="008A35CE" w:rsidRDefault="008A35CE" w:rsidP="008A35CE">
      <w:pPr>
        <w:jc w:val="both"/>
      </w:pPr>
    </w:p>
    <w:p w14:paraId="484135B1" w14:textId="12A32352" w:rsidR="00E648F7" w:rsidRPr="00B53391" w:rsidRDefault="00766F03" w:rsidP="007F3197">
      <w:pPr>
        <w:rPr>
          <w:rFonts w:cs="Arial"/>
          <w:color w:val="17365D" w:themeColor="text2" w:themeShade="BF"/>
        </w:rPr>
      </w:pPr>
      <w:r>
        <w:rPr>
          <w:noProof/>
          <w:lang w:eastAsia="en-GB"/>
        </w:rPr>
        <mc:AlternateContent>
          <mc:Choice Requires="wps">
            <w:drawing>
              <wp:anchor distT="0" distB="0" distL="114300" distR="114300" simplePos="0" relativeHeight="251661311" behindDoc="1" locked="0" layoutInCell="1" allowOverlap="1" wp14:anchorId="088F0CD5" wp14:editId="691174A5">
                <wp:simplePos x="0" y="0"/>
                <wp:positionH relativeFrom="column">
                  <wp:posOffset>601101</wp:posOffset>
                </wp:positionH>
                <wp:positionV relativeFrom="paragraph">
                  <wp:posOffset>4441336</wp:posOffset>
                </wp:positionV>
                <wp:extent cx="4381500" cy="1028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28700"/>
                        </a:xfrm>
                        <a:prstGeom prst="rect">
                          <a:avLst/>
                        </a:prstGeom>
                        <a:solidFill>
                          <a:srgbClr val="FFFFFF"/>
                        </a:solidFill>
                        <a:ln w="9525">
                          <a:noFill/>
                          <a:miter lim="800000"/>
                          <a:headEnd/>
                          <a:tailEnd/>
                        </a:ln>
                      </wps:spPr>
                      <wps:txbx>
                        <w:txbxContent>
                          <w:p w14:paraId="3CE224EE" w14:textId="77777777" w:rsidR="007F3197" w:rsidRPr="00766F03" w:rsidRDefault="007F3197" w:rsidP="007F3197">
                            <w:pPr>
                              <w:jc w:val="center"/>
                              <w:rPr>
                                <w:rFonts w:asciiTheme="minorHAnsi" w:hAnsiTheme="minorHAnsi"/>
                                <w:sz w:val="24"/>
                                <w:szCs w:val="24"/>
                              </w:rPr>
                            </w:pPr>
                            <w:r w:rsidRPr="00766F03">
                              <w:rPr>
                                <w:rFonts w:asciiTheme="minorHAnsi" w:hAnsiTheme="minorHAnsi"/>
                                <w:sz w:val="24"/>
                                <w:szCs w:val="24"/>
                              </w:rPr>
                              <w:t>Likelihood for decision log</w:t>
                            </w:r>
                          </w:p>
                          <w:p w14:paraId="4AAF808C" w14:textId="30E18362" w:rsidR="007F3197" w:rsidRPr="007F3197" w:rsidRDefault="007F3197" w:rsidP="007F3197">
                            <w:pPr>
                              <w:jc w:val="center"/>
                              <w:rPr>
                                <w:rFonts w:asciiTheme="minorHAnsi" w:hAnsiTheme="minorHAnsi"/>
                                <w:sz w:val="24"/>
                                <w:szCs w:val="24"/>
                              </w:rPr>
                            </w:pPr>
                            <w:r w:rsidRPr="007F3197">
                              <w:rPr>
                                <w:rFonts w:asciiTheme="minorHAnsi" w:hAnsiTheme="minorHAnsi"/>
                                <w:sz w:val="24"/>
                                <w:szCs w:val="24"/>
                              </w:rPr>
                              <w:t>(</w:t>
                            </w:r>
                            <w:r w:rsidR="00280D57">
                              <w:rPr>
                                <w:rFonts w:asciiTheme="minorHAnsi" w:hAnsiTheme="minorHAnsi"/>
                                <w:sz w:val="24"/>
                                <w:szCs w:val="24"/>
                              </w:rPr>
                              <w:t>I</w:t>
                            </w:r>
                            <w:r w:rsidRPr="007F3197">
                              <w:rPr>
                                <w:rFonts w:asciiTheme="minorHAnsi" w:hAnsiTheme="minorHAnsi"/>
                                <w:sz w:val="24"/>
                                <w:szCs w:val="24"/>
                              </w:rPr>
                              <w:t>ncreasing information, advice, support, challenge, scrutiny &amp; consultation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F0CD5" id="_x0000_t202" coordsize="21600,21600" o:spt="202" path="m,l,21600r21600,l21600,xe">
                <v:stroke joinstyle="miter"/>
                <v:path gradientshapeok="t" o:connecttype="rect"/>
              </v:shapetype>
              <v:shape id="Text Box 5" o:spid="_x0000_s1026" type="#_x0000_t202" style="position:absolute;margin-left:47.35pt;margin-top:349.7pt;width:345pt;height:81pt;z-index:-2516551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" stroked="f">
                <v:textbox>
                  <w:txbxContent>
                    <w:p w14:paraId="3CE224EE" w14:textId="77777777" w:rsidR="007F3197" w:rsidRPr="00766F03" w:rsidRDefault="007F3197" w:rsidP="007F3197">
                      <w:pPr>
                        <w:jc w:val="center"/>
                        <w:rPr>
                          <w:rFonts w:asciiTheme="minorHAnsi" w:hAnsiTheme="minorHAnsi"/>
                          <w:sz w:val="24"/>
                          <w:szCs w:val="24"/>
                        </w:rPr>
                      </w:pPr>
                      <w:r w:rsidRPr="00766F03">
                        <w:rPr>
                          <w:rFonts w:asciiTheme="minorHAnsi" w:hAnsiTheme="minorHAnsi"/>
                          <w:sz w:val="24"/>
                          <w:szCs w:val="24"/>
                        </w:rPr>
                        <w:t>Likelihood for decision log</w:t>
                      </w:r>
                    </w:p>
                    <w:p w14:paraId="4AAF808C" w14:textId="30E18362" w:rsidR="007F3197" w:rsidRPr="007F3197" w:rsidRDefault="007F3197" w:rsidP="007F3197">
                      <w:pPr>
                        <w:jc w:val="center"/>
                        <w:rPr>
                          <w:rFonts w:asciiTheme="minorHAnsi" w:hAnsiTheme="minorHAnsi"/>
                          <w:sz w:val="24"/>
                          <w:szCs w:val="24"/>
                        </w:rPr>
                      </w:pPr>
                      <w:r w:rsidRPr="007F3197">
                        <w:rPr>
                          <w:rFonts w:asciiTheme="minorHAnsi" w:hAnsiTheme="minorHAnsi"/>
                          <w:sz w:val="24"/>
                          <w:szCs w:val="24"/>
                        </w:rPr>
                        <w:t>(</w:t>
                      </w:r>
                      <w:r w:rsidR="00280D57">
                        <w:rPr>
                          <w:rFonts w:asciiTheme="minorHAnsi" w:hAnsiTheme="minorHAnsi"/>
                          <w:sz w:val="24"/>
                          <w:szCs w:val="24"/>
                        </w:rPr>
                        <w:t>I</w:t>
                      </w:r>
                      <w:r w:rsidRPr="007F3197">
                        <w:rPr>
                          <w:rFonts w:asciiTheme="minorHAnsi" w:hAnsiTheme="minorHAnsi"/>
                          <w:sz w:val="24"/>
                          <w:szCs w:val="24"/>
                        </w:rPr>
                        <w:t>ncreasing information, advice, support, challenge, scrutiny &amp; consultation required)</w:t>
                      </w:r>
                    </w:p>
                  </w:txbxContent>
                </v:textbox>
              </v:shape>
            </w:pict>
          </mc:Fallback>
        </mc:AlternateContent>
      </w:r>
      <w:r w:rsidR="00AE3386">
        <w:rPr>
          <w:noProof/>
          <w:lang w:eastAsia="en-GB"/>
        </w:rPr>
        <mc:AlternateContent>
          <mc:Choice Requires="wps">
            <w:drawing>
              <wp:anchor distT="0" distB="0" distL="114300" distR="114300" simplePos="0" relativeHeight="251662336" behindDoc="1" locked="0" layoutInCell="1" allowOverlap="1" wp14:anchorId="6689F09B" wp14:editId="439889DA">
                <wp:simplePos x="0" y="0"/>
                <wp:positionH relativeFrom="column">
                  <wp:posOffset>-273734</wp:posOffset>
                </wp:positionH>
                <wp:positionV relativeFrom="paragraph">
                  <wp:posOffset>1195656</wp:posOffset>
                </wp:positionV>
                <wp:extent cx="2466975" cy="1403985"/>
                <wp:effectExtent l="635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66975" cy="1403985"/>
                        </a:xfrm>
                        <a:prstGeom prst="rect">
                          <a:avLst/>
                        </a:prstGeom>
                        <a:solidFill>
                          <a:srgbClr val="FFFFFF"/>
                        </a:solidFill>
                        <a:ln w="9525">
                          <a:noFill/>
                          <a:miter lim="800000"/>
                          <a:headEnd/>
                          <a:tailEnd/>
                        </a:ln>
                      </wps:spPr>
                      <wps:txbx>
                        <w:txbxContent>
                          <w:p w14:paraId="62B0B202" w14:textId="77777777" w:rsidR="00AE3386" w:rsidRPr="007F3197" w:rsidRDefault="00AE3386" w:rsidP="00AE3386">
                            <w:pPr>
                              <w:jc w:val="center"/>
                              <w:rPr>
                                <w:sz w:val="24"/>
                                <w:szCs w:val="24"/>
                              </w:rPr>
                            </w:pPr>
                            <w:r w:rsidRPr="007F3197">
                              <w:rPr>
                                <w:sz w:val="24"/>
                                <w:szCs w:val="24"/>
                              </w:rPr>
                              <w:t>Likelihood to publish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9F09B" id="Text Box 2" o:spid="_x0000_s1027" type="#_x0000_t202" style="position:absolute;margin-left:-21.55pt;margin-top:94.15pt;width:194.25pt;height:110.55pt;rotation:-90;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" stroked="f">
                <v:textbox style="mso-fit-shape-to-text:t">
                  <w:txbxContent>
                    <w:p w14:paraId="62B0B202" w14:textId="77777777" w:rsidR="00AE3386" w:rsidRPr="007F3197" w:rsidRDefault="00AE3386" w:rsidP="00AE3386">
                      <w:pPr>
                        <w:jc w:val="center"/>
                        <w:rPr>
                          <w:sz w:val="24"/>
                          <w:szCs w:val="24"/>
                        </w:rPr>
                      </w:pPr>
                      <w:r w:rsidRPr="007F3197">
                        <w:rPr>
                          <w:sz w:val="24"/>
                          <w:szCs w:val="24"/>
                        </w:rPr>
                        <w:t>Likelihood to publish</w:t>
                      </w:r>
                    </w:p>
                  </w:txbxContent>
                </v:textbox>
              </v:shape>
            </w:pict>
          </mc:Fallback>
        </mc:AlternateContent>
      </w:r>
      <w:r w:rsidR="00AE3386" w:rsidRPr="00AE3386">
        <w:rPr>
          <w:noProof/>
          <w:lang w:eastAsia="en-GB"/>
        </w:rPr>
        <mc:AlternateContent>
          <mc:Choice Requires="wps">
            <w:drawing>
              <wp:anchor distT="0" distB="0" distL="114300" distR="114300" simplePos="0" relativeHeight="251660288" behindDoc="0" locked="0" layoutInCell="1" allowOverlap="1" wp14:anchorId="5F291ED9" wp14:editId="2210EC44">
                <wp:simplePos x="0" y="0"/>
                <wp:positionH relativeFrom="column">
                  <wp:posOffset>595630</wp:posOffset>
                </wp:positionH>
                <wp:positionV relativeFrom="paragraph">
                  <wp:posOffset>4216400</wp:posOffset>
                </wp:positionV>
                <wp:extent cx="4419600" cy="635"/>
                <wp:effectExtent l="0" t="76200" r="19050" b="113665"/>
                <wp:wrapNone/>
                <wp:docPr id="4" name="Straight Arrow Connector 4"/>
                <wp:cNvGraphicFramePr/>
                <a:graphic xmlns:a="http://schemas.openxmlformats.org/drawingml/2006/main">
                  <a:graphicData uri="http://schemas.microsoft.com/office/word/2010/wordprocessingShape">
                    <wps:wsp>
                      <wps:cNvCnPr/>
                      <wps:spPr>
                        <a:xfrm flipV="1">
                          <a:off x="0" y="0"/>
                          <a:ext cx="4419600"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2A75A2" id="_x0000_t32" coordsize="21600,21600" o:spt="32" o:oned="t" path="m,l21600,21600e" filled="f">
                <v:path arrowok="t" fillok="f" o:connecttype="none"/>
                <o:lock v:ext="edit" shapetype="t"/>
              </v:shapetype>
              <v:shape id="Straight Arrow Connector 4" o:spid="_x0000_s1026" type="#_x0000_t32" style="position:absolute;margin-left:46.9pt;margin-top:332pt;width:348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" strokecolor="#4579b8 [3044]">
                <v:stroke endarrow="open"/>
              </v:shape>
            </w:pict>
          </mc:Fallback>
        </mc:AlternateContent>
      </w:r>
      <w:r w:rsidR="00AE3386" w:rsidRPr="00AE3386">
        <w:rPr>
          <w:noProof/>
          <w:lang w:eastAsia="en-GB"/>
        </w:rPr>
        <mc:AlternateContent>
          <mc:Choice Requires="wps">
            <w:drawing>
              <wp:anchor distT="0" distB="0" distL="114300" distR="114300" simplePos="0" relativeHeight="251659264" behindDoc="0" locked="0" layoutInCell="1" allowOverlap="1" wp14:anchorId="728C6A68" wp14:editId="0BE8BF33">
                <wp:simplePos x="0" y="0"/>
                <wp:positionH relativeFrom="column">
                  <wp:posOffset>595679</wp:posOffset>
                </wp:positionH>
                <wp:positionV relativeFrom="paragraph">
                  <wp:posOffset>274174</wp:posOffset>
                </wp:positionV>
                <wp:extent cx="0" cy="394271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39427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86A861" id="Straight Arrow Connector 3" o:spid="_x0000_s1026" type="#_x0000_t32" style="position:absolute;margin-left:46.9pt;margin-top:21.6pt;width:0;height:310.4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" strokecolor="#4579b8 [3044]">
                <v:stroke endarrow="open"/>
              </v:shape>
            </w:pict>
          </mc:Fallback>
        </mc:AlternateContent>
      </w:r>
      <w:r w:rsidR="00AE3386">
        <w:rPr>
          <w:noProof/>
          <w:lang w:eastAsia="en-GB"/>
        </w:rPr>
        <w:drawing>
          <wp:inline distT="0" distB="0" distL="0" distR="0" wp14:anchorId="173691EC" wp14:editId="2388CB06">
            <wp:extent cx="5613400" cy="44958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5"/>
    </w:p>
    <w:sectPr w:rsidR="00E648F7" w:rsidRPr="00B53391" w:rsidSect="003B743A">
      <w:footerReference w:type="default" r:id="rId17"/>
      <w:pgSz w:w="11906" w:h="16838"/>
      <w:pgMar w:top="1952" w:right="1440" w:bottom="99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8E4BB" w14:textId="77777777" w:rsidR="007E5184" w:rsidRDefault="007E5184" w:rsidP="00581215">
      <w:pPr>
        <w:spacing w:after="0" w:line="240" w:lineRule="auto"/>
      </w:pPr>
      <w:r>
        <w:separator/>
      </w:r>
    </w:p>
  </w:endnote>
  <w:endnote w:type="continuationSeparator" w:id="0">
    <w:p w14:paraId="4E71B94F" w14:textId="77777777" w:rsidR="007E5184" w:rsidRDefault="007E5184" w:rsidP="00581215">
      <w:pPr>
        <w:spacing w:after="0" w:line="240" w:lineRule="auto"/>
      </w:pPr>
      <w:r>
        <w:continuationSeparator/>
      </w:r>
    </w:p>
  </w:endnote>
  <w:endnote w:type="continuationNotice" w:id="1">
    <w:p w14:paraId="331B39A8" w14:textId="77777777" w:rsidR="007E5184" w:rsidRDefault="007E5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72" w:type="dxa"/>
        <w:left w:w="115" w:type="dxa"/>
        <w:bottom w:w="72" w:type="dxa"/>
        <w:right w:w="115" w:type="dxa"/>
      </w:tblCellMar>
      <w:tblLook w:val="04A0" w:firstRow="1" w:lastRow="0" w:firstColumn="1" w:lastColumn="0" w:noHBand="0" w:noVBand="1"/>
    </w:tblPr>
    <w:tblGrid>
      <w:gridCol w:w="8123"/>
      <w:gridCol w:w="903"/>
    </w:tblGrid>
    <w:tr w:rsidR="004C14EE" w14:paraId="484135C6" w14:textId="77777777" w:rsidTr="003B3E67">
      <w:trPr>
        <w:trHeight w:val="343"/>
        <w:jc w:val="center"/>
      </w:trPr>
      <w:tc>
        <w:tcPr>
          <w:tcW w:w="4500" w:type="pct"/>
          <w:tcBorders>
            <w:top w:val="single" w:sz="4" w:space="0" w:color="000000" w:themeColor="text1"/>
          </w:tcBorders>
        </w:tcPr>
        <w:p w14:paraId="484135C4" w14:textId="77777777" w:rsidR="004C14EE" w:rsidRPr="00BE5368" w:rsidRDefault="004C14EE" w:rsidP="003B3E67">
          <w:pPr>
            <w:pStyle w:val="Footer"/>
            <w:jc w:val="right"/>
            <w:rPr>
              <w:rFonts w:ascii="Arial" w:hAnsi="Arial" w:cs="Arial"/>
              <w:sz w:val="18"/>
              <w:szCs w:val="18"/>
            </w:rPr>
          </w:pPr>
        </w:p>
      </w:tc>
      <w:tc>
        <w:tcPr>
          <w:tcW w:w="500" w:type="pct"/>
          <w:tcBorders>
            <w:top w:val="single" w:sz="4" w:space="0" w:color="C0504D" w:themeColor="accent2"/>
          </w:tcBorders>
          <w:shd w:val="clear" w:color="auto" w:fill="548DD4" w:themeFill="text2" w:themeFillTint="99"/>
        </w:tcPr>
        <w:p w14:paraId="484135C5" w14:textId="6B5EF4ED" w:rsidR="004C14EE" w:rsidRPr="00BE5368" w:rsidRDefault="004C14EE" w:rsidP="003B3E67">
          <w:pPr>
            <w:pStyle w:val="Header"/>
            <w:rPr>
              <w:rFonts w:ascii="Arial" w:hAnsi="Arial" w:cs="Arial"/>
              <w:color w:val="FFFFFF" w:themeColor="background1"/>
              <w:sz w:val="18"/>
              <w:szCs w:val="18"/>
            </w:rPr>
          </w:pP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814C97">
            <w:rPr>
              <w:rFonts w:ascii="Arial" w:hAnsi="Arial" w:cs="Arial"/>
              <w:noProof/>
              <w:sz w:val="18"/>
              <w:szCs w:val="18"/>
            </w:rPr>
            <w:t>1</w:t>
          </w:r>
          <w:r>
            <w:rPr>
              <w:rFonts w:ascii="Arial" w:hAnsi="Arial" w:cs="Arial"/>
              <w:sz w:val="18"/>
              <w:szCs w:val="18"/>
            </w:rPr>
            <w:fldChar w:fldCharType="end"/>
          </w:r>
        </w:p>
      </w:tc>
    </w:tr>
  </w:tbl>
  <w:p w14:paraId="484135C7" w14:textId="77777777" w:rsidR="004C14EE" w:rsidRDefault="004C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56FFE" w14:textId="77777777" w:rsidR="007E5184" w:rsidRDefault="007E5184" w:rsidP="00581215">
      <w:pPr>
        <w:spacing w:after="0" w:line="240" w:lineRule="auto"/>
      </w:pPr>
      <w:r>
        <w:separator/>
      </w:r>
    </w:p>
  </w:footnote>
  <w:footnote w:type="continuationSeparator" w:id="0">
    <w:p w14:paraId="729333FF" w14:textId="77777777" w:rsidR="007E5184" w:rsidRDefault="007E5184" w:rsidP="00581215">
      <w:pPr>
        <w:spacing w:after="0" w:line="240" w:lineRule="auto"/>
      </w:pPr>
      <w:r>
        <w:continuationSeparator/>
      </w:r>
    </w:p>
  </w:footnote>
  <w:footnote w:type="continuationNotice" w:id="1">
    <w:p w14:paraId="44E91F95" w14:textId="77777777" w:rsidR="007E5184" w:rsidRDefault="007E51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5015B"/>
    <w:multiLevelType w:val="hybridMultilevel"/>
    <w:tmpl w:val="5824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00CE5"/>
    <w:multiLevelType w:val="hybridMultilevel"/>
    <w:tmpl w:val="BB9CC58A"/>
    <w:lvl w:ilvl="0" w:tplc="E954E79C">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46C2B21"/>
    <w:multiLevelType w:val="hybridMultilevel"/>
    <w:tmpl w:val="22CAE918"/>
    <w:lvl w:ilvl="0" w:tplc="05D4E56E">
      <w:start w:val="1"/>
      <w:numFmt w:val="decimal"/>
      <w:lvlText w:val="%1."/>
      <w:lvlJc w:val="left"/>
      <w:pPr>
        <w:ind w:left="720" w:hanging="360"/>
      </w:pPr>
      <w:rPr>
        <w:rFonts w:hint="default"/>
        <w:b/>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E5768"/>
    <w:multiLevelType w:val="hybridMultilevel"/>
    <w:tmpl w:val="22CAE918"/>
    <w:lvl w:ilvl="0" w:tplc="05D4E56E">
      <w:start w:val="1"/>
      <w:numFmt w:val="decimal"/>
      <w:lvlText w:val="%1."/>
      <w:lvlJc w:val="left"/>
      <w:pPr>
        <w:ind w:left="720" w:hanging="360"/>
      </w:pPr>
      <w:rPr>
        <w:rFonts w:hint="default"/>
        <w:b/>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C724B"/>
    <w:multiLevelType w:val="hybridMultilevel"/>
    <w:tmpl w:val="E2EE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E2C34"/>
    <w:multiLevelType w:val="hybridMultilevel"/>
    <w:tmpl w:val="CE26308A"/>
    <w:lvl w:ilvl="0" w:tplc="7D187DF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125B2A"/>
    <w:multiLevelType w:val="hybridMultilevel"/>
    <w:tmpl w:val="665A089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65105ED"/>
    <w:multiLevelType w:val="hybridMultilevel"/>
    <w:tmpl w:val="1460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B6D9E"/>
    <w:multiLevelType w:val="hybridMultilevel"/>
    <w:tmpl w:val="47E4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2D1672"/>
    <w:multiLevelType w:val="multilevel"/>
    <w:tmpl w:val="45009A72"/>
    <w:lvl w:ilvl="0">
      <w:start w:val="4"/>
      <w:numFmt w:val="decimal"/>
      <w:lvlText w:val="%1"/>
      <w:lvlJc w:val="left"/>
      <w:pPr>
        <w:ind w:left="405" w:hanging="405"/>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F043504"/>
    <w:multiLevelType w:val="hybridMultilevel"/>
    <w:tmpl w:val="FD02FA90"/>
    <w:lvl w:ilvl="0" w:tplc="0476689E">
      <w:start w:val="1"/>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5668D"/>
    <w:multiLevelType w:val="hybridMultilevel"/>
    <w:tmpl w:val="7EC248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5155A0"/>
    <w:multiLevelType w:val="hybridMultilevel"/>
    <w:tmpl w:val="6AF25C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15BB6"/>
    <w:multiLevelType w:val="multilevel"/>
    <w:tmpl w:val="63E6C6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1D2197"/>
    <w:multiLevelType w:val="hybridMultilevel"/>
    <w:tmpl w:val="8FD8B34A"/>
    <w:lvl w:ilvl="0" w:tplc="8C6A46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D35F5"/>
    <w:multiLevelType w:val="hybridMultilevel"/>
    <w:tmpl w:val="1BFCD2E4"/>
    <w:lvl w:ilvl="0" w:tplc="2C66D4F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74D97"/>
    <w:multiLevelType w:val="hybridMultilevel"/>
    <w:tmpl w:val="B9EC017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58032493"/>
    <w:multiLevelType w:val="hybridMultilevel"/>
    <w:tmpl w:val="7FE298E2"/>
    <w:lvl w:ilvl="0" w:tplc="C0A2BE0A">
      <w:start w:val="1"/>
      <w:numFmt w:val="decimal"/>
      <w:lvlText w:val="3.%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A930ED5"/>
    <w:multiLevelType w:val="multilevel"/>
    <w:tmpl w:val="4560CCF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5BEA5B07"/>
    <w:multiLevelType w:val="multilevel"/>
    <w:tmpl w:val="0D04931A"/>
    <w:lvl w:ilvl="0">
      <w:start w:val="5"/>
      <w:numFmt w:val="decimal"/>
      <w:lvlText w:val="%1"/>
      <w:lvlJc w:val="left"/>
      <w:pPr>
        <w:ind w:left="360" w:hanging="360"/>
      </w:pPr>
      <w:rPr>
        <w:rFonts w:hint="default"/>
      </w:rPr>
    </w:lvl>
    <w:lvl w:ilvl="1">
      <w:start w:val="1"/>
      <w:numFmt w:val="decimal"/>
      <w:lvlText w:val="5.%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606F3CB6"/>
    <w:multiLevelType w:val="multilevel"/>
    <w:tmpl w:val="BE2C2C2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4235885"/>
    <w:multiLevelType w:val="hybridMultilevel"/>
    <w:tmpl w:val="7090B3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0F02ED"/>
    <w:multiLevelType w:val="hybridMultilevel"/>
    <w:tmpl w:val="9E804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95529E"/>
    <w:multiLevelType w:val="hybridMultilevel"/>
    <w:tmpl w:val="86C6C0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0AA75D7"/>
    <w:multiLevelType w:val="hybridMultilevel"/>
    <w:tmpl w:val="38F4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B5640A"/>
    <w:multiLevelType w:val="hybridMultilevel"/>
    <w:tmpl w:val="9F0638F0"/>
    <w:lvl w:ilvl="0" w:tplc="96EC556C">
      <w:start w:val="1"/>
      <w:numFmt w:val="decimal"/>
      <w:lvlText w:val="4.%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9353811"/>
    <w:multiLevelType w:val="hybridMultilevel"/>
    <w:tmpl w:val="254E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8B28A1"/>
    <w:multiLevelType w:val="hybridMultilevel"/>
    <w:tmpl w:val="E7C4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D3C45"/>
    <w:multiLevelType w:val="hybridMultilevel"/>
    <w:tmpl w:val="D592EAB2"/>
    <w:lvl w:ilvl="0" w:tplc="08090005">
      <w:start w:val="1"/>
      <w:numFmt w:val="bullet"/>
      <w:lvlText w:val=""/>
      <w:lvlJc w:val="left"/>
      <w:pPr>
        <w:ind w:left="803" w:hanging="360"/>
      </w:pPr>
      <w:rPr>
        <w:rFonts w:ascii="Wingdings" w:hAnsi="Wingdings"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9" w15:restartNumberingAfterBreak="0">
    <w:nsid w:val="7D557414"/>
    <w:multiLevelType w:val="hybridMultilevel"/>
    <w:tmpl w:val="DB4A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6"/>
  </w:num>
  <w:num w:numId="4">
    <w:abstractNumId w:val="26"/>
  </w:num>
  <w:num w:numId="5">
    <w:abstractNumId w:val="23"/>
  </w:num>
  <w:num w:numId="6">
    <w:abstractNumId w:val="14"/>
  </w:num>
  <w:num w:numId="7">
    <w:abstractNumId w:val="13"/>
  </w:num>
  <w:num w:numId="8">
    <w:abstractNumId w:val="19"/>
  </w:num>
  <w:num w:numId="9">
    <w:abstractNumId w:val="15"/>
  </w:num>
  <w:num w:numId="10">
    <w:abstractNumId w:val="20"/>
  </w:num>
  <w:num w:numId="11">
    <w:abstractNumId w:val="17"/>
  </w:num>
  <w:num w:numId="12">
    <w:abstractNumId w:val="25"/>
  </w:num>
  <w:num w:numId="13">
    <w:abstractNumId w:val="9"/>
  </w:num>
  <w:num w:numId="14">
    <w:abstractNumId w:val="27"/>
  </w:num>
  <w:num w:numId="15">
    <w:abstractNumId w:val="4"/>
  </w:num>
  <w:num w:numId="16">
    <w:abstractNumId w:val="0"/>
  </w:num>
  <w:num w:numId="17">
    <w:abstractNumId w:val="29"/>
  </w:num>
  <w:num w:numId="18">
    <w:abstractNumId w:val="5"/>
  </w:num>
  <w:num w:numId="19">
    <w:abstractNumId w:val="2"/>
  </w:num>
  <w:num w:numId="20">
    <w:abstractNumId w:val="18"/>
  </w:num>
  <w:num w:numId="21">
    <w:abstractNumId w:val="10"/>
  </w:num>
  <w:num w:numId="22">
    <w:abstractNumId w:val="8"/>
  </w:num>
  <w:num w:numId="23">
    <w:abstractNumId w:val="7"/>
  </w:num>
  <w:num w:numId="24">
    <w:abstractNumId w:val="24"/>
  </w:num>
  <w:num w:numId="25">
    <w:abstractNumId w:val="22"/>
  </w:num>
  <w:num w:numId="26">
    <w:abstractNumId w:val="11"/>
  </w:num>
  <w:num w:numId="27">
    <w:abstractNumId w:val="12"/>
  </w:num>
  <w:num w:numId="28">
    <w:abstractNumId w:val="6"/>
  </w:num>
  <w:num w:numId="29">
    <w:abstractNumId w:val="28"/>
  </w:num>
  <w:num w:numId="3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1F"/>
    <w:rsid w:val="00011B18"/>
    <w:rsid w:val="000142FA"/>
    <w:rsid w:val="00014AC8"/>
    <w:rsid w:val="00020A6E"/>
    <w:rsid w:val="000222D7"/>
    <w:rsid w:val="00034245"/>
    <w:rsid w:val="00035924"/>
    <w:rsid w:val="000366C3"/>
    <w:rsid w:val="00037130"/>
    <w:rsid w:val="00044C2C"/>
    <w:rsid w:val="000463D7"/>
    <w:rsid w:val="000478DF"/>
    <w:rsid w:val="00050ED9"/>
    <w:rsid w:val="00055F83"/>
    <w:rsid w:val="00074902"/>
    <w:rsid w:val="0008261A"/>
    <w:rsid w:val="00083B97"/>
    <w:rsid w:val="0008610F"/>
    <w:rsid w:val="000A1FCF"/>
    <w:rsid w:val="000B768E"/>
    <w:rsid w:val="000B7BC7"/>
    <w:rsid w:val="000D0C26"/>
    <w:rsid w:val="000D15DF"/>
    <w:rsid w:val="000D1FE5"/>
    <w:rsid w:val="000D5FBA"/>
    <w:rsid w:val="000E296E"/>
    <w:rsid w:val="000E3A09"/>
    <w:rsid w:val="000F73BB"/>
    <w:rsid w:val="0010044C"/>
    <w:rsid w:val="0010178E"/>
    <w:rsid w:val="00103EEA"/>
    <w:rsid w:val="001046CE"/>
    <w:rsid w:val="001066D1"/>
    <w:rsid w:val="00121CD8"/>
    <w:rsid w:val="00134DDB"/>
    <w:rsid w:val="00151E2E"/>
    <w:rsid w:val="00153CD6"/>
    <w:rsid w:val="00161B09"/>
    <w:rsid w:val="00163D96"/>
    <w:rsid w:val="00166199"/>
    <w:rsid w:val="001678D8"/>
    <w:rsid w:val="00176A34"/>
    <w:rsid w:val="00192247"/>
    <w:rsid w:val="00192D8C"/>
    <w:rsid w:val="0019633E"/>
    <w:rsid w:val="001B07BF"/>
    <w:rsid w:val="001B07FC"/>
    <w:rsid w:val="001B1817"/>
    <w:rsid w:val="001B4199"/>
    <w:rsid w:val="001B55FF"/>
    <w:rsid w:val="001C0848"/>
    <w:rsid w:val="001C576C"/>
    <w:rsid w:val="001D12B5"/>
    <w:rsid w:val="001D1611"/>
    <w:rsid w:val="001D5EED"/>
    <w:rsid w:val="001E503C"/>
    <w:rsid w:val="001E68D3"/>
    <w:rsid w:val="001F163E"/>
    <w:rsid w:val="001F656C"/>
    <w:rsid w:val="001F69D6"/>
    <w:rsid w:val="0020131A"/>
    <w:rsid w:val="00204C2D"/>
    <w:rsid w:val="002078A7"/>
    <w:rsid w:val="00207BD7"/>
    <w:rsid w:val="002175EB"/>
    <w:rsid w:val="0022063A"/>
    <w:rsid w:val="00224E3C"/>
    <w:rsid w:val="00230856"/>
    <w:rsid w:val="00241683"/>
    <w:rsid w:val="00244350"/>
    <w:rsid w:val="00245A36"/>
    <w:rsid w:val="0025183C"/>
    <w:rsid w:val="002526C9"/>
    <w:rsid w:val="00254A32"/>
    <w:rsid w:val="00256000"/>
    <w:rsid w:val="0026599F"/>
    <w:rsid w:val="00273A11"/>
    <w:rsid w:val="00280D57"/>
    <w:rsid w:val="002832DC"/>
    <w:rsid w:val="0028786C"/>
    <w:rsid w:val="00290E63"/>
    <w:rsid w:val="00294FE6"/>
    <w:rsid w:val="002A1084"/>
    <w:rsid w:val="002A2877"/>
    <w:rsid w:val="002A31EC"/>
    <w:rsid w:val="002B1F1F"/>
    <w:rsid w:val="002B33CF"/>
    <w:rsid w:val="002B4199"/>
    <w:rsid w:val="002B7B64"/>
    <w:rsid w:val="002C38D8"/>
    <w:rsid w:val="002C4784"/>
    <w:rsid w:val="002C7B86"/>
    <w:rsid w:val="002D2062"/>
    <w:rsid w:val="002D2CCC"/>
    <w:rsid w:val="002D560D"/>
    <w:rsid w:val="002D701C"/>
    <w:rsid w:val="002E04D0"/>
    <w:rsid w:val="002E1BF0"/>
    <w:rsid w:val="002E30BC"/>
    <w:rsid w:val="002F1FE5"/>
    <w:rsid w:val="002F616A"/>
    <w:rsid w:val="002F7E74"/>
    <w:rsid w:val="00315B8B"/>
    <w:rsid w:val="003177C6"/>
    <w:rsid w:val="00317AA2"/>
    <w:rsid w:val="00321C7E"/>
    <w:rsid w:val="003409D7"/>
    <w:rsid w:val="00340BCA"/>
    <w:rsid w:val="00341ADD"/>
    <w:rsid w:val="003439B8"/>
    <w:rsid w:val="0034701F"/>
    <w:rsid w:val="00352A22"/>
    <w:rsid w:val="00355870"/>
    <w:rsid w:val="00370DB9"/>
    <w:rsid w:val="003814F8"/>
    <w:rsid w:val="003823A2"/>
    <w:rsid w:val="003840A2"/>
    <w:rsid w:val="003908B3"/>
    <w:rsid w:val="003914E9"/>
    <w:rsid w:val="00393F44"/>
    <w:rsid w:val="003A18BC"/>
    <w:rsid w:val="003A22D0"/>
    <w:rsid w:val="003A40AB"/>
    <w:rsid w:val="003A772D"/>
    <w:rsid w:val="003A77AD"/>
    <w:rsid w:val="003A7900"/>
    <w:rsid w:val="003B2BD7"/>
    <w:rsid w:val="003B3E67"/>
    <w:rsid w:val="003B743A"/>
    <w:rsid w:val="003C112D"/>
    <w:rsid w:val="003C1507"/>
    <w:rsid w:val="003C3369"/>
    <w:rsid w:val="003C36FE"/>
    <w:rsid w:val="003F1292"/>
    <w:rsid w:val="00400891"/>
    <w:rsid w:val="00402F2F"/>
    <w:rsid w:val="004045AD"/>
    <w:rsid w:val="00407E05"/>
    <w:rsid w:val="00413387"/>
    <w:rsid w:val="00422E11"/>
    <w:rsid w:val="00431AFF"/>
    <w:rsid w:val="004358C2"/>
    <w:rsid w:val="0043716A"/>
    <w:rsid w:val="00450C16"/>
    <w:rsid w:val="0046708E"/>
    <w:rsid w:val="00482C71"/>
    <w:rsid w:val="0048326C"/>
    <w:rsid w:val="004873DA"/>
    <w:rsid w:val="00491489"/>
    <w:rsid w:val="0049470D"/>
    <w:rsid w:val="004A4FB1"/>
    <w:rsid w:val="004B1176"/>
    <w:rsid w:val="004B45D3"/>
    <w:rsid w:val="004B6329"/>
    <w:rsid w:val="004C0826"/>
    <w:rsid w:val="004C14EE"/>
    <w:rsid w:val="004C357E"/>
    <w:rsid w:val="004C4250"/>
    <w:rsid w:val="004C75F3"/>
    <w:rsid w:val="004D2110"/>
    <w:rsid w:val="004D67AA"/>
    <w:rsid w:val="004E2D87"/>
    <w:rsid w:val="004F046A"/>
    <w:rsid w:val="004F30C2"/>
    <w:rsid w:val="004F6D39"/>
    <w:rsid w:val="005037E3"/>
    <w:rsid w:val="0050484F"/>
    <w:rsid w:val="00507C8B"/>
    <w:rsid w:val="00510482"/>
    <w:rsid w:val="00515346"/>
    <w:rsid w:val="00515E62"/>
    <w:rsid w:val="00516C7F"/>
    <w:rsid w:val="005219A3"/>
    <w:rsid w:val="0052687C"/>
    <w:rsid w:val="0053068A"/>
    <w:rsid w:val="00533C48"/>
    <w:rsid w:val="00537572"/>
    <w:rsid w:val="00542A6D"/>
    <w:rsid w:val="00544057"/>
    <w:rsid w:val="0054692E"/>
    <w:rsid w:val="00550C8D"/>
    <w:rsid w:val="00551D1B"/>
    <w:rsid w:val="00553E3B"/>
    <w:rsid w:val="00560F07"/>
    <w:rsid w:val="00581215"/>
    <w:rsid w:val="005A593B"/>
    <w:rsid w:val="005A5E82"/>
    <w:rsid w:val="005A6300"/>
    <w:rsid w:val="005A69C3"/>
    <w:rsid w:val="005A6EB0"/>
    <w:rsid w:val="005B3FFA"/>
    <w:rsid w:val="005C0E37"/>
    <w:rsid w:val="005C4021"/>
    <w:rsid w:val="005C4510"/>
    <w:rsid w:val="005D1137"/>
    <w:rsid w:val="005D3762"/>
    <w:rsid w:val="005E0280"/>
    <w:rsid w:val="005E36A8"/>
    <w:rsid w:val="005E520A"/>
    <w:rsid w:val="005F282F"/>
    <w:rsid w:val="005F3C2E"/>
    <w:rsid w:val="00604F97"/>
    <w:rsid w:val="0061199A"/>
    <w:rsid w:val="006135E0"/>
    <w:rsid w:val="00613F23"/>
    <w:rsid w:val="00623CB3"/>
    <w:rsid w:val="00624847"/>
    <w:rsid w:val="00627F2A"/>
    <w:rsid w:val="006310C7"/>
    <w:rsid w:val="00631B03"/>
    <w:rsid w:val="00634A89"/>
    <w:rsid w:val="0063629B"/>
    <w:rsid w:val="006363B3"/>
    <w:rsid w:val="00642C1E"/>
    <w:rsid w:val="00663CD2"/>
    <w:rsid w:val="00666E40"/>
    <w:rsid w:val="00674542"/>
    <w:rsid w:val="006759B8"/>
    <w:rsid w:val="00677B82"/>
    <w:rsid w:val="00682CA2"/>
    <w:rsid w:val="00686ADF"/>
    <w:rsid w:val="00686E1A"/>
    <w:rsid w:val="00693A80"/>
    <w:rsid w:val="006A4277"/>
    <w:rsid w:val="006A4B95"/>
    <w:rsid w:val="006A665B"/>
    <w:rsid w:val="006B10B7"/>
    <w:rsid w:val="006B3804"/>
    <w:rsid w:val="006B4069"/>
    <w:rsid w:val="006B79AD"/>
    <w:rsid w:val="006C2953"/>
    <w:rsid w:val="006C6CB5"/>
    <w:rsid w:val="006D0017"/>
    <w:rsid w:val="006D0076"/>
    <w:rsid w:val="006F1B6B"/>
    <w:rsid w:val="006F3879"/>
    <w:rsid w:val="00703F34"/>
    <w:rsid w:val="00716F32"/>
    <w:rsid w:val="00731B3C"/>
    <w:rsid w:val="00734173"/>
    <w:rsid w:val="00736C87"/>
    <w:rsid w:val="00744D31"/>
    <w:rsid w:val="00755853"/>
    <w:rsid w:val="0075612F"/>
    <w:rsid w:val="00756368"/>
    <w:rsid w:val="00757D33"/>
    <w:rsid w:val="00766F03"/>
    <w:rsid w:val="007715E4"/>
    <w:rsid w:val="00776143"/>
    <w:rsid w:val="007957B0"/>
    <w:rsid w:val="00797334"/>
    <w:rsid w:val="007A04EB"/>
    <w:rsid w:val="007A25CF"/>
    <w:rsid w:val="007A3D61"/>
    <w:rsid w:val="007B19CE"/>
    <w:rsid w:val="007B3377"/>
    <w:rsid w:val="007B445E"/>
    <w:rsid w:val="007C5717"/>
    <w:rsid w:val="007C57A5"/>
    <w:rsid w:val="007C6145"/>
    <w:rsid w:val="007C62CF"/>
    <w:rsid w:val="007D2F2A"/>
    <w:rsid w:val="007E4949"/>
    <w:rsid w:val="007E5184"/>
    <w:rsid w:val="007E58BD"/>
    <w:rsid w:val="007F1102"/>
    <w:rsid w:val="007F1B9E"/>
    <w:rsid w:val="007F3197"/>
    <w:rsid w:val="007F3C6A"/>
    <w:rsid w:val="007F4AEF"/>
    <w:rsid w:val="0080011C"/>
    <w:rsid w:val="00801360"/>
    <w:rsid w:val="00801BD3"/>
    <w:rsid w:val="00803B9E"/>
    <w:rsid w:val="00805EA1"/>
    <w:rsid w:val="00814A94"/>
    <w:rsid w:val="00814C97"/>
    <w:rsid w:val="00822379"/>
    <w:rsid w:val="00833EE1"/>
    <w:rsid w:val="008341E4"/>
    <w:rsid w:val="0083598C"/>
    <w:rsid w:val="00840A1D"/>
    <w:rsid w:val="008524F8"/>
    <w:rsid w:val="00853616"/>
    <w:rsid w:val="00860575"/>
    <w:rsid w:val="0086334E"/>
    <w:rsid w:val="00870402"/>
    <w:rsid w:val="0087227F"/>
    <w:rsid w:val="00872778"/>
    <w:rsid w:val="008763E3"/>
    <w:rsid w:val="00877209"/>
    <w:rsid w:val="008A35CE"/>
    <w:rsid w:val="008B30F9"/>
    <w:rsid w:val="008B3483"/>
    <w:rsid w:val="008B472A"/>
    <w:rsid w:val="008C7F22"/>
    <w:rsid w:val="008D216E"/>
    <w:rsid w:val="008D4BF6"/>
    <w:rsid w:val="008E2F7D"/>
    <w:rsid w:val="008E7DED"/>
    <w:rsid w:val="008F20AB"/>
    <w:rsid w:val="008F58B7"/>
    <w:rsid w:val="008F5ECA"/>
    <w:rsid w:val="009006D7"/>
    <w:rsid w:val="009024FE"/>
    <w:rsid w:val="00905AAD"/>
    <w:rsid w:val="009078CF"/>
    <w:rsid w:val="00907D75"/>
    <w:rsid w:val="00912403"/>
    <w:rsid w:val="0091403C"/>
    <w:rsid w:val="00921A3D"/>
    <w:rsid w:val="00922753"/>
    <w:rsid w:val="00930610"/>
    <w:rsid w:val="00933855"/>
    <w:rsid w:val="00936156"/>
    <w:rsid w:val="00941B34"/>
    <w:rsid w:val="009430D1"/>
    <w:rsid w:val="009435DF"/>
    <w:rsid w:val="009446A2"/>
    <w:rsid w:val="009522E8"/>
    <w:rsid w:val="00960157"/>
    <w:rsid w:val="00963BFC"/>
    <w:rsid w:val="00970B6A"/>
    <w:rsid w:val="0097128F"/>
    <w:rsid w:val="009802F1"/>
    <w:rsid w:val="00982572"/>
    <w:rsid w:val="0098395E"/>
    <w:rsid w:val="0099661D"/>
    <w:rsid w:val="009A0E9A"/>
    <w:rsid w:val="009A0F0C"/>
    <w:rsid w:val="009A1E59"/>
    <w:rsid w:val="009A2B7E"/>
    <w:rsid w:val="009A605A"/>
    <w:rsid w:val="009B23D5"/>
    <w:rsid w:val="009B36B9"/>
    <w:rsid w:val="009B50AD"/>
    <w:rsid w:val="009C1E0D"/>
    <w:rsid w:val="009C6FA8"/>
    <w:rsid w:val="009C7A90"/>
    <w:rsid w:val="009D0B22"/>
    <w:rsid w:val="009E06D6"/>
    <w:rsid w:val="009E3704"/>
    <w:rsid w:val="009E4FA3"/>
    <w:rsid w:val="009F0D1A"/>
    <w:rsid w:val="009F526A"/>
    <w:rsid w:val="009F6A51"/>
    <w:rsid w:val="009F6FCC"/>
    <w:rsid w:val="00A05708"/>
    <w:rsid w:val="00A06811"/>
    <w:rsid w:val="00A079DE"/>
    <w:rsid w:val="00A15FE7"/>
    <w:rsid w:val="00A16D86"/>
    <w:rsid w:val="00A30A06"/>
    <w:rsid w:val="00A31A47"/>
    <w:rsid w:val="00A33BEF"/>
    <w:rsid w:val="00A3554D"/>
    <w:rsid w:val="00A372B9"/>
    <w:rsid w:val="00A37E42"/>
    <w:rsid w:val="00A37E5D"/>
    <w:rsid w:val="00A44196"/>
    <w:rsid w:val="00A50D20"/>
    <w:rsid w:val="00A5253A"/>
    <w:rsid w:val="00A542E4"/>
    <w:rsid w:val="00A56812"/>
    <w:rsid w:val="00A572C6"/>
    <w:rsid w:val="00A602D3"/>
    <w:rsid w:val="00A6196F"/>
    <w:rsid w:val="00A61B68"/>
    <w:rsid w:val="00A63591"/>
    <w:rsid w:val="00A70BBB"/>
    <w:rsid w:val="00A72C75"/>
    <w:rsid w:val="00A74CDD"/>
    <w:rsid w:val="00A76708"/>
    <w:rsid w:val="00A82173"/>
    <w:rsid w:val="00A84ACA"/>
    <w:rsid w:val="00A866BC"/>
    <w:rsid w:val="00AA36FB"/>
    <w:rsid w:val="00AB2143"/>
    <w:rsid w:val="00AB437E"/>
    <w:rsid w:val="00AC0CD1"/>
    <w:rsid w:val="00AC2078"/>
    <w:rsid w:val="00AD481F"/>
    <w:rsid w:val="00AE1CAD"/>
    <w:rsid w:val="00AE3386"/>
    <w:rsid w:val="00AF07DE"/>
    <w:rsid w:val="00AF3178"/>
    <w:rsid w:val="00AF31A8"/>
    <w:rsid w:val="00AF7BDB"/>
    <w:rsid w:val="00B00B73"/>
    <w:rsid w:val="00B028D1"/>
    <w:rsid w:val="00B17056"/>
    <w:rsid w:val="00B3081B"/>
    <w:rsid w:val="00B32E8D"/>
    <w:rsid w:val="00B35725"/>
    <w:rsid w:val="00B4118E"/>
    <w:rsid w:val="00B52410"/>
    <w:rsid w:val="00B53391"/>
    <w:rsid w:val="00B536AF"/>
    <w:rsid w:val="00B57B0C"/>
    <w:rsid w:val="00B60DF3"/>
    <w:rsid w:val="00B639E5"/>
    <w:rsid w:val="00B7245C"/>
    <w:rsid w:val="00B72D2A"/>
    <w:rsid w:val="00B72FB9"/>
    <w:rsid w:val="00B75EE0"/>
    <w:rsid w:val="00B77B6F"/>
    <w:rsid w:val="00B807E9"/>
    <w:rsid w:val="00B81EF8"/>
    <w:rsid w:val="00B8526D"/>
    <w:rsid w:val="00BA40D5"/>
    <w:rsid w:val="00BB1459"/>
    <w:rsid w:val="00BB65C9"/>
    <w:rsid w:val="00BD113D"/>
    <w:rsid w:val="00BD56A7"/>
    <w:rsid w:val="00BE0F69"/>
    <w:rsid w:val="00BE458F"/>
    <w:rsid w:val="00BE6B9F"/>
    <w:rsid w:val="00BF0F2E"/>
    <w:rsid w:val="00BF662F"/>
    <w:rsid w:val="00BF6803"/>
    <w:rsid w:val="00C010C7"/>
    <w:rsid w:val="00C0421B"/>
    <w:rsid w:val="00C06546"/>
    <w:rsid w:val="00C06D03"/>
    <w:rsid w:val="00C109A1"/>
    <w:rsid w:val="00C131D2"/>
    <w:rsid w:val="00C1644B"/>
    <w:rsid w:val="00C26C5E"/>
    <w:rsid w:val="00C401CC"/>
    <w:rsid w:val="00C4198A"/>
    <w:rsid w:val="00C43939"/>
    <w:rsid w:val="00C60730"/>
    <w:rsid w:val="00C62A02"/>
    <w:rsid w:val="00C6655A"/>
    <w:rsid w:val="00C674DD"/>
    <w:rsid w:val="00C70D8E"/>
    <w:rsid w:val="00C739E8"/>
    <w:rsid w:val="00C74EB4"/>
    <w:rsid w:val="00C83C1B"/>
    <w:rsid w:val="00C848D8"/>
    <w:rsid w:val="00C93EC8"/>
    <w:rsid w:val="00CA1D4D"/>
    <w:rsid w:val="00CA25F2"/>
    <w:rsid w:val="00CA2CAC"/>
    <w:rsid w:val="00CA4B78"/>
    <w:rsid w:val="00CA4DC7"/>
    <w:rsid w:val="00CA5ABA"/>
    <w:rsid w:val="00CB20B2"/>
    <w:rsid w:val="00CB31D0"/>
    <w:rsid w:val="00CB65F1"/>
    <w:rsid w:val="00CD147F"/>
    <w:rsid w:val="00CD32F9"/>
    <w:rsid w:val="00CF0C17"/>
    <w:rsid w:val="00CF4376"/>
    <w:rsid w:val="00CF5AEF"/>
    <w:rsid w:val="00D00B48"/>
    <w:rsid w:val="00D10DF3"/>
    <w:rsid w:val="00D1404C"/>
    <w:rsid w:val="00D1624F"/>
    <w:rsid w:val="00D23A20"/>
    <w:rsid w:val="00D2643B"/>
    <w:rsid w:val="00D324F7"/>
    <w:rsid w:val="00D371A4"/>
    <w:rsid w:val="00D40EFF"/>
    <w:rsid w:val="00D4527D"/>
    <w:rsid w:val="00D511DE"/>
    <w:rsid w:val="00D550FE"/>
    <w:rsid w:val="00D62FB8"/>
    <w:rsid w:val="00D63473"/>
    <w:rsid w:val="00D65C50"/>
    <w:rsid w:val="00D71174"/>
    <w:rsid w:val="00D717C1"/>
    <w:rsid w:val="00D76EB0"/>
    <w:rsid w:val="00D82918"/>
    <w:rsid w:val="00D82FED"/>
    <w:rsid w:val="00D84A53"/>
    <w:rsid w:val="00D857A2"/>
    <w:rsid w:val="00DA0DCD"/>
    <w:rsid w:val="00DA63D0"/>
    <w:rsid w:val="00DB2FD6"/>
    <w:rsid w:val="00DB7C59"/>
    <w:rsid w:val="00DC1272"/>
    <w:rsid w:val="00DC1275"/>
    <w:rsid w:val="00DD3D45"/>
    <w:rsid w:val="00DD5D4E"/>
    <w:rsid w:val="00DE0EEF"/>
    <w:rsid w:val="00DE2CCE"/>
    <w:rsid w:val="00DF17DA"/>
    <w:rsid w:val="00E00C05"/>
    <w:rsid w:val="00E01AE9"/>
    <w:rsid w:val="00E043DE"/>
    <w:rsid w:val="00E0541C"/>
    <w:rsid w:val="00E056F1"/>
    <w:rsid w:val="00E05F27"/>
    <w:rsid w:val="00E073BF"/>
    <w:rsid w:val="00E17AB4"/>
    <w:rsid w:val="00E27D39"/>
    <w:rsid w:val="00E30D4A"/>
    <w:rsid w:val="00E402C5"/>
    <w:rsid w:val="00E4243B"/>
    <w:rsid w:val="00E472F6"/>
    <w:rsid w:val="00E525AE"/>
    <w:rsid w:val="00E56321"/>
    <w:rsid w:val="00E57824"/>
    <w:rsid w:val="00E64596"/>
    <w:rsid w:val="00E647CC"/>
    <w:rsid w:val="00E648F7"/>
    <w:rsid w:val="00E74520"/>
    <w:rsid w:val="00E74AD0"/>
    <w:rsid w:val="00E84079"/>
    <w:rsid w:val="00E848BD"/>
    <w:rsid w:val="00E854EB"/>
    <w:rsid w:val="00E85C74"/>
    <w:rsid w:val="00E85EAF"/>
    <w:rsid w:val="00E94A2D"/>
    <w:rsid w:val="00EA50D1"/>
    <w:rsid w:val="00EA76D6"/>
    <w:rsid w:val="00EB1253"/>
    <w:rsid w:val="00EB522A"/>
    <w:rsid w:val="00EB7FF1"/>
    <w:rsid w:val="00EC35BA"/>
    <w:rsid w:val="00EC3E98"/>
    <w:rsid w:val="00EC6040"/>
    <w:rsid w:val="00ED5188"/>
    <w:rsid w:val="00EE35A6"/>
    <w:rsid w:val="00EF0574"/>
    <w:rsid w:val="00EF379A"/>
    <w:rsid w:val="00F06A7C"/>
    <w:rsid w:val="00F072E0"/>
    <w:rsid w:val="00F109C5"/>
    <w:rsid w:val="00F176C9"/>
    <w:rsid w:val="00F27C50"/>
    <w:rsid w:val="00F327BD"/>
    <w:rsid w:val="00F32B70"/>
    <w:rsid w:val="00F37CF2"/>
    <w:rsid w:val="00F45FC9"/>
    <w:rsid w:val="00F50544"/>
    <w:rsid w:val="00F51CC6"/>
    <w:rsid w:val="00F62F98"/>
    <w:rsid w:val="00F6399E"/>
    <w:rsid w:val="00F73560"/>
    <w:rsid w:val="00F73DB3"/>
    <w:rsid w:val="00F746B0"/>
    <w:rsid w:val="00F755F6"/>
    <w:rsid w:val="00F77AA5"/>
    <w:rsid w:val="00F87E9E"/>
    <w:rsid w:val="00F90AC6"/>
    <w:rsid w:val="00F9651F"/>
    <w:rsid w:val="00F9716C"/>
    <w:rsid w:val="00FA54A0"/>
    <w:rsid w:val="00FB14A9"/>
    <w:rsid w:val="00FB188D"/>
    <w:rsid w:val="00FB26EE"/>
    <w:rsid w:val="00FB33FB"/>
    <w:rsid w:val="00FB6579"/>
    <w:rsid w:val="00FC3EDA"/>
    <w:rsid w:val="00FD3385"/>
    <w:rsid w:val="00FE1120"/>
    <w:rsid w:val="00FE1A95"/>
    <w:rsid w:val="00FE40DE"/>
    <w:rsid w:val="00FE59E2"/>
    <w:rsid w:val="00FE60FC"/>
    <w:rsid w:val="00FE67DD"/>
    <w:rsid w:val="00FF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1351F"/>
  <w15:docId w15:val="{1E991141-DA42-4C5C-9BB3-77911011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43A"/>
    <w:rPr>
      <w:rFonts w:ascii="Verdana" w:hAnsi="Verdana"/>
    </w:rPr>
  </w:style>
  <w:style w:type="paragraph" w:styleId="Heading1">
    <w:name w:val="heading 1"/>
    <w:basedOn w:val="Normal"/>
    <w:next w:val="Normal"/>
    <w:link w:val="Heading1Char"/>
    <w:uiPriority w:val="9"/>
    <w:qFormat/>
    <w:rsid w:val="00D2643B"/>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643B"/>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D2643B"/>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D2643B"/>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D2643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43B"/>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643B"/>
    <w:rPr>
      <w:rFonts w:ascii="Verdana" w:eastAsiaTheme="majorEastAsia" w:hAnsi="Verdana" w:cstheme="majorBidi"/>
      <w:b/>
      <w:bCs/>
      <w:color w:val="4F81BD" w:themeColor="accent1"/>
      <w:sz w:val="26"/>
      <w:szCs w:val="26"/>
    </w:rPr>
  </w:style>
  <w:style w:type="character" w:styleId="Hyperlink">
    <w:name w:val="Hyperlink"/>
    <w:basedOn w:val="DefaultParagraphFont"/>
    <w:uiPriority w:val="99"/>
    <w:unhideWhenUsed/>
    <w:rsid w:val="00581215"/>
    <w:rPr>
      <w:strike w:val="0"/>
      <w:dstrike w:val="0"/>
      <w:color w:val="4C83C4"/>
      <w:u w:val="none"/>
      <w:effect w:val="none"/>
    </w:rPr>
  </w:style>
  <w:style w:type="paragraph" w:styleId="ListParagraph">
    <w:name w:val="List Paragraph"/>
    <w:basedOn w:val="Normal"/>
    <w:uiPriority w:val="34"/>
    <w:qFormat/>
    <w:rsid w:val="00581215"/>
    <w:pPr>
      <w:ind w:left="720"/>
      <w:contextualSpacing/>
    </w:pPr>
  </w:style>
  <w:style w:type="paragraph" w:styleId="FootnoteText">
    <w:name w:val="footnote text"/>
    <w:basedOn w:val="Normal"/>
    <w:link w:val="FootnoteTextChar"/>
    <w:uiPriority w:val="99"/>
    <w:unhideWhenUsed/>
    <w:rsid w:val="00581215"/>
    <w:pPr>
      <w:spacing w:after="0" w:line="240" w:lineRule="auto"/>
    </w:pPr>
    <w:rPr>
      <w:sz w:val="20"/>
      <w:szCs w:val="20"/>
    </w:rPr>
  </w:style>
  <w:style w:type="character" w:customStyle="1" w:styleId="FootnoteTextChar">
    <w:name w:val="Footnote Text Char"/>
    <w:basedOn w:val="DefaultParagraphFont"/>
    <w:link w:val="FootnoteText"/>
    <w:uiPriority w:val="99"/>
    <w:rsid w:val="00581215"/>
    <w:rPr>
      <w:sz w:val="20"/>
      <w:szCs w:val="20"/>
    </w:rPr>
  </w:style>
  <w:style w:type="character" w:styleId="FootnoteReference">
    <w:name w:val="footnote reference"/>
    <w:basedOn w:val="DefaultParagraphFont"/>
    <w:uiPriority w:val="99"/>
    <w:unhideWhenUsed/>
    <w:rsid w:val="00581215"/>
    <w:rPr>
      <w:vertAlign w:val="superscript"/>
    </w:rPr>
  </w:style>
  <w:style w:type="character" w:customStyle="1" w:styleId="Heading3Char">
    <w:name w:val="Heading 3 Char"/>
    <w:basedOn w:val="DefaultParagraphFont"/>
    <w:link w:val="Heading3"/>
    <w:uiPriority w:val="9"/>
    <w:rsid w:val="00D2643B"/>
    <w:rPr>
      <w:rFonts w:ascii="Verdana" w:eastAsiaTheme="majorEastAsia" w:hAnsi="Verdana" w:cstheme="majorBidi"/>
      <w:b/>
      <w:bCs/>
      <w:color w:val="4F81BD" w:themeColor="accent1"/>
    </w:rPr>
  </w:style>
  <w:style w:type="paragraph" w:styleId="BalloonText">
    <w:name w:val="Balloon Text"/>
    <w:basedOn w:val="Normal"/>
    <w:link w:val="BalloonTextChar"/>
    <w:uiPriority w:val="99"/>
    <w:semiHidden/>
    <w:unhideWhenUsed/>
    <w:rsid w:val="00A37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2B9"/>
    <w:rPr>
      <w:rFonts w:ascii="Tahoma" w:hAnsi="Tahoma" w:cs="Tahoma"/>
      <w:sz w:val="16"/>
      <w:szCs w:val="16"/>
    </w:rPr>
  </w:style>
  <w:style w:type="paragraph" w:styleId="Caption">
    <w:name w:val="caption"/>
    <w:basedOn w:val="Normal"/>
    <w:next w:val="Normal"/>
    <w:uiPriority w:val="35"/>
    <w:unhideWhenUsed/>
    <w:qFormat/>
    <w:rsid w:val="00166199"/>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DA63D0"/>
    <w:pPr>
      <w:outlineLvl w:val="9"/>
    </w:pPr>
    <w:rPr>
      <w:lang w:val="en-US" w:eastAsia="ja-JP"/>
    </w:rPr>
  </w:style>
  <w:style w:type="paragraph" w:styleId="TOC1">
    <w:name w:val="toc 1"/>
    <w:basedOn w:val="Normal"/>
    <w:next w:val="Normal"/>
    <w:autoRedefine/>
    <w:uiPriority w:val="39"/>
    <w:unhideWhenUsed/>
    <w:rsid w:val="00DA63D0"/>
    <w:pPr>
      <w:spacing w:after="100"/>
    </w:pPr>
  </w:style>
  <w:style w:type="paragraph" w:styleId="TOC2">
    <w:name w:val="toc 2"/>
    <w:basedOn w:val="Normal"/>
    <w:next w:val="Normal"/>
    <w:autoRedefine/>
    <w:uiPriority w:val="39"/>
    <w:unhideWhenUsed/>
    <w:rsid w:val="00DA63D0"/>
    <w:pPr>
      <w:spacing w:after="100"/>
      <w:ind w:left="220"/>
    </w:pPr>
  </w:style>
  <w:style w:type="paragraph" w:styleId="TOC3">
    <w:name w:val="toc 3"/>
    <w:basedOn w:val="Normal"/>
    <w:next w:val="Normal"/>
    <w:autoRedefine/>
    <w:uiPriority w:val="39"/>
    <w:unhideWhenUsed/>
    <w:rsid w:val="00DA63D0"/>
    <w:pPr>
      <w:spacing w:after="100"/>
      <w:ind w:left="440"/>
    </w:pPr>
  </w:style>
  <w:style w:type="table" w:styleId="TableGrid">
    <w:name w:val="Table Grid"/>
    <w:basedOn w:val="TableNormal"/>
    <w:uiPriority w:val="59"/>
    <w:rsid w:val="00D82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93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D2643B"/>
    <w:rPr>
      <w:b/>
      <w:bCs/>
    </w:rPr>
  </w:style>
  <w:style w:type="character" w:styleId="FollowedHyperlink">
    <w:name w:val="FollowedHyperlink"/>
    <w:basedOn w:val="DefaultParagraphFont"/>
    <w:uiPriority w:val="99"/>
    <w:semiHidden/>
    <w:unhideWhenUsed/>
    <w:rsid w:val="0052687C"/>
    <w:rPr>
      <w:color w:val="800080" w:themeColor="followedHyperlink"/>
      <w:u w:val="single"/>
    </w:rPr>
  </w:style>
  <w:style w:type="table" w:customStyle="1" w:styleId="TableGrid1">
    <w:name w:val="Table Grid1"/>
    <w:basedOn w:val="TableNormal"/>
    <w:next w:val="TableGrid"/>
    <w:rsid w:val="00E85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2643B"/>
    <w:rPr>
      <w:rFonts w:ascii="Verdana" w:eastAsiaTheme="majorEastAsia" w:hAnsi="Verdana" w:cstheme="majorBidi"/>
      <w:b/>
      <w:bCs/>
      <w:i/>
      <w:iCs/>
      <w:color w:val="4F81BD" w:themeColor="accent1"/>
    </w:rPr>
  </w:style>
  <w:style w:type="paragraph" w:styleId="Header">
    <w:name w:val="header"/>
    <w:basedOn w:val="Normal"/>
    <w:link w:val="HeaderChar"/>
    <w:unhideWhenUsed/>
    <w:rsid w:val="008763E3"/>
    <w:pPr>
      <w:tabs>
        <w:tab w:val="center" w:pos="4513"/>
        <w:tab w:val="right" w:pos="9026"/>
      </w:tabs>
      <w:spacing w:after="0" w:line="240" w:lineRule="auto"/>
    </w:pPr>
  </w:style>
  <w:style w:type="character" w:customStyle="1" w:styleId="HeaderChar">
    <w:name w:val="Header Char"/>
    <w:basedOn w:val="DefaultParagraphFont"/>
    <w:link w:val="Header"/>
    <w:rsid w:val="008763E3"/>
  </w:style>
  <w:style w:type="paragraph" w:styleId="Footer">
    <w:name w:val="footer"/>
    <w:basedOn w:val="Normal"/>
    <w:link w:val="FooterChar"/>
    <w:uiPriority w:val="99"/>
    <w:unhideWhenUsed/>
    <w:rsid w:val="00876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3E3"/>
  </w:style>
  <w:style w:type="paragraph" w:styleId="PlainText">
    <w:name w:val="Plain Text"/>
    <w:basedOn w:val="Normal"/>
    <w:link w:val="PlainTextChar"/>
    <w:uiPriority w:val="99"/>
    <w:semiHidden/>
    <w:unhideWhenUsed/>
    <w:rsid w:val="00C109A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109A1"/>
    <w:rPr>
      <w:rFonts w:ascii="Calibri" w:hAnsi="Calibri" w:cs="Times New Roman"/>
    </w:rPr>
  </w:style>
  <w:style w:type="paragraph" w:styleId="NoSpacing">
    <w:name w:val="No Spacing"/>
    <w:uiPriority w:val="1"/>
    <w:qFormat/>
    <w:rsid w:val="00D2643B"/>
    <w:pPr>
      <w:spacing w:after="0" w:line="240" w:lineRule="auto"/>
    </w:pPr>
    <w:rPr>
      <w:rFonts w:ascii="Verdana" w:hAnsi="Verdana"/>
    </w:rPr>
  </w:style>
  <w:style w:type="character" w:customStyle="1" w:styleId="Heading5Char">
    <w:name w:val="Heading 5 Char"/>
    <w:basedOn w:val="DefaultParagraphFont"/>
    <w:link w:val="Heading5"/>
    <w:uiPriority w:val="9"/>
    <w:semiHidden/>
    <w:rsid w:val="00D2643B"/>
    <w:rPr>
      <w:rFonts w:ascii="Verdana" w:eastAsiaTheme="majorEastAsia" w:hAnsi="Verdana" w:cstheme="majorBidi"/>
      <w:color w:val="243F60" w:themeColor="accent1" w:themeShade="7F"/>
    </w:rPr>
  </w:style>
  <w:style w:type="paragraph" w:styleId="Title">
    <w:name w:val="Title"/>
    <w:basedOn w:val="Normal"/>
    <w:next w:val="Normal"/>
    <w:link w:val="TitleChar"/>
    <w:uiPriority w:val="10"/>
    <w:qFormat/>
    <w:rsid w:val="00D2643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43B"/>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2643B"/>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643B"/>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qFormat/>
    <w:rsid w:val="00D2643B"/>
    <w:rPr>
      <w:rFonts w:ascii="Verdana" w:hAnsi="Verdana"/>
      <w:i/>
      <w:iCs/>
      <w:color w:val="808080" w:themeColor="text1" w:themeTint="7F"/>
    </w:rPr>
  </w:style>
  <w:style w:type="character" w:styleId="Emphasis">
    <w:name w:val="Emphasis"/>
    <w:basedOn w:val="DefaultParagraphFont"/>
    <w:uiPriority w:val="20"/>
    <w:qFormat/>
    <w:rsid w:val="00D2643B"/>
    <w:rPr>
      <w:i/>
      <w:iCs/>
    </w:rPr>
  </w:style>
  <w:style w:type="character" w:styleId="IntenseEmphasis">
    <w:name w:val="Intense Emphasis"/>
    <w:basedOn w:val="DefaultParagraphFont"/>
    <w:uiPriority w:val="21"/>
    <w:qFormat/>
    <w:rsid w:val="00D2643B"/>
    <w:rPr>
      <w:b/>
      <w:bCs/>
      <w:i/>
      <w:iCs/>
      <w:color w:val="4F81BD" w:themeColor="accent1"/>
    </w:rPr>
  </w:style>
  <w:style w:type="paragraph" w:styleId="Quote">
    <w:name w:val="Quote"/>
    <w:basedOn w:val="Normal"/>
    <w:next w:val="Normal"/>
    <w:link w:val="QuoteChar"/>
    <w:uiPriority w:val="29"/>
    <w:qFormat/>
    <w:rsid w:val="00D2643B"/>
    <w:rPr>
      <w:i/>
      <w:iCs/>
      <w:color w:val="000000" w:themeColor="text1"/>
    </w:rPr>
  </w:style>
  <w:style w:type="character" w:customStyle="1" w:styleId="QuoteChar">
    <w:name w:val="Quote Char"/>
    <w:basedOn w:val="DefaultParagraphFont"/>
    <w:link w:val="Quote"/>
    <w:uiPriority w:val="29"/>
    <w:rsid w:val="00D2643B"/>
    <w:rPr>
      <w:rFonts w:ascii="Verdana" w:hAnsi="Verdana"/>
      <w:i/>
      <w:iCs/>
      <w:color w:val="000000" w:themeColor="text1"/>
    </w:rPr>
  </w:style>
  <w:style w:type="paragraph" w:styleId="IntenseQuote">
    <w:name w:val="Intense Quote"/>
    <w:basedOn w:val="Normal"/>
    <w:next w:val="Normal"/>
    <w:link w:val="IntenseQuoteChar"/>
    <w:uiPriority w:val="30"/>
    <w:qFormat/>
    <w:rsid w:val="00D2643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2643B"/>
    <w:rPr>
      <w:rFonts w:ascii="Verdana" w:hAnsi="Verdana"/>
      <w:b/>
      <w:bCs/>
      <w:i/>
      <w:iCs/>
      <w:color w:val="4F81BD" w:themeColor="accent1"/>
    </w:rPr>
  </w:style>
  <w:style w:type="character" w:styleId="SubtleReference">
    <w:name w:val="Subtle Reference"/>
    <w:basedOn w:val="DefaultParagraphFont"/>
    <w:uiPriority w:val="31"/>
    <w:qFormat/>
    <w:rsid w:val="00D2643B"/>
    <w:rPr>
      <w:smallCaps/>
      <w:color w:val="C0504D" w:themeColor="accent2"/>
      <w:u w:val="single"/>
    </w:rPr>
  </w:style>
  <w:style w:type="character" w:styleId="IntenseReference">
    <w:name w:val="Intense Reference"/>
    <w:basedOn w:val="DefaultParagraphFont"/>
    <w:uiPriority w:val="32"/>
    <w:qFormat/>
    <w:rsid w:val="00D2643B"/>
    <w:rPr>
      <w:b/>
      <w:bCs/>
      <w:smallCaps/>
      <w:color w:val="C0504D" w:themeColor="accent2"/>
      <w:spacing w:val="5"/>
      <w:u w:val="single"/>
    </w:rPr>
  </w:style>
  <w:style w:type="character" w:styleId="BookTitle">
    <w:name w:val="Book Title"/>
    <w:basedOn w:val="DefaultParagraphFont"/>
    <w:uiPriority w:val="33"/>
    <w:qFormat/>
    <w:rsid w:val="00D2643B"/>
    <w:rPr>
      <w:b/>
      <w:bCs/>
      <w:smallCaps/>
      <w:spacing w:val="5"/>
    </w:rPr>
  </w:style>
  <w:style w:type="table" w:customStyle="1" w:styleId="TableGrid2">
    <w:name w:val="Table Grid2"/>
    <w:basedOn w:val="TableNormal"/>
    <w:next w:val="TableGrid"/>
    <w:uiPriority w:val="59"/>
    <w:rsid w:val="00D65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651F"/>
    <w:rPr>
      <w:sz w:val="16"/>
      <w:szCs w:val="16"/>
    </w:rPr>
  </w:style>
  <w:style w:type="paragraph" w:styleId="CommentText">
    <w:name w:val="annotation text"/>
    <w:basedOn w:val="Normal"/>
    <w:link w:val="CommentTextChar"/>
    <w:uiPriority w:val="99"/>
    <w:semiHidden/>
    <w:unhideWhenUsed/>
    <w:rsid w:val="00F9651F"/>
    <w:pPr>
      <w:spacing w:line="240" w:lineRule="auto"/>
    </w:pPr>
    <w:rPr>
      <w:sz w:val="20"/>
      <w:szCs w:val="20"/>
    </w:rPr>
  </w:style>
  <w:style w:type="character" w:customStyle="1" w:styleId="CommentTextChar">
    <w:name w:val="Comment Text Char"/>
    <w:basedOn w:val="DefaultParagraphFont"/>
    <w:link w:val="CommentText"/>
    <w:uiPriority w:val="99"/>
    <w:semiHidden/>
    <w:rsid w:val="00F9651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F9651F"/>
    <w:rPr>
      <w:b/>
      <w:bCs/>
    </w:rPr>
  </w:style>
  <w:style w:type="character" w:customStyle="1" w:styleId="CommentSubjectChar">
    <w:name w:val="Comment Subject Char"/>
    <w:basedOn w:val="CommentTextChar"/>
    <w:link w:val="CommentSubject"/>
    <w:uiPriority w:val="99"/>
    <w:semiHidden/>
    <w:rsid w:val="00F9651F"/>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4980">
      <w:bodyDiv w:val="1"/>
      <w:marLeft w:val="0"/>
      <w:marRight w:val="0"/>
      <w:marTop w:val="0"/>
      <w:marBottom w:val="0"/>
      <w:divBdr>
        <w:top w:val="none" w:sz="0" w:space="0" w:color="auto"/>
        <w:left w:val="none" w:sz="0" w:space="0" w:color="auto"/>
        <w:bottom w:val="none" w:sz="0" w:space="0" w:color="auto"/>
        <w:right w:val="none" w:sz="0" w:space="0" w:color="auto"/>
      </w:divBdr>
    </w:div>
    <w:div w:id="188107402">
      <w:bodyDiv w:val="1"/>
      <w:marLeft w:val="0"/>
      <w:marRight w:val="0"/>
      <w:marTop w:val="0"/>
      <w:marBottom w:val="0"/>
      <w:divBdr>
        <w:top w:val="none" w:sz="0" w:space="0" w:color="auto"/>
        <w:left w:val="none" w:sz="0" w:space="0" w:color="auto"/>
        <w:bottom w:val="none" w:sz="0" w:space="0" w:color="auto"/>
        <w:right w:val="none" w:sz="0" w:space="0" w:color="auto"/>
      </w:divBdr>
    </w:div>
    <w:div w:id="263730771">
      <w:bodyDiv w:val="1"/>
      <w:marLeft w:val="0"/>
      <w:marRight w:val="0"/>
      <w:marTop w:val="0"/>
      <w:marBottom w:val="0"/>
      <w:divBdr>
        <w:top w:val="none" w:sz="0" w:space="0" w:color="auto"/>
        <w:left w:val="none" w:sz="0" w:space="0" w:color="auto"/>
        <w:bottom w:val="none" w:sz="0" w:space="0" w:color="auto"/>
        <w:right w:val="none" w:sz="0" w:space="0" w:color="auto"/>
      </w:divBdr>
    </w:div>
    <w:div w:id="321005667">
      <w:bodyDiv w:val="1"/>
      <w:marLeft w:val="0"/>
      <w:marRight w:val="0"/>
      <w:marTop w:val="0"/>
      <w:marBottom w:val="0"/>
      <w:divBdr>
        <w:top w:val="none" w:sz="0" w:space="0" w:color="auto"/>
        <w:left w:val="none" w:sz="0" w:space="0" w:color="auto"/>
        <w:bottom w:val="none" w:sz="0" w:space="0" w:color="auto"/>
        <w:right w:val="none" w:sz="0" w:space="0" w:color="auto"/>
      </w:divBdr>
    </w:div>
    <w:div w:id="699740791">
      <w:bodyDiv w:val="1"/>
      <w:marLeft w:val="0"/>
      <w:marRight w:val="0"/>
      <w:marTop w:val="0"/>
      <w:marBottom w:val="0"/>
      <w:divBdr>
        <w:top w:val="none" w:sz="0" w:space="0" w:color="auto"/>
        <w:left w:val="none" w:sz="0" w:space="0" w:color="auto"/>
        <w:bottom w:val="none" w:sz="0" w:space="0" w:color="auto"/>
        <w:right w:val="none" w:sz="0" w:space="0" w:color="auto"/>
      </w:divBdr>
    </w:div>
    <w:div w:id="782458366">
      <w:bodyDiv w:val="1"/>
      <w:marLeft w:val="0"/>
      <w:marRight w:val="0"/>
      <w:marTop w:val="0"/>
      <w:marBottom w:val="0"/>
      <w:divBdr>
        <w:top w:val="none" w:sz="0" w:space="0" w:color="auto"/>
        <w:left w:val="none" w:sz="0" w:space="0" w:color="auto"/>
        <w:bottom w:val="none" w:sz="0" w:space="0" w:color="auto"/>
        <w:right w:val="none" w:sz="0" w:space="0" w:color="auto"/>
      </w:divBdr>
    </w:div>
    <w:div w:id="784613594">
      <w:bodyDiv w:val="1"/>
      <w:marLeft w:val="0"/>
      <w:marRight w:val="0"/>
      <w:marTop w:val="0"/>
      <w:marBottom w:val="0"/>
      <w:divBdr>
        <w:top w:val="none" w:sz="0" w:space="0" w:color="auto"/>
        <w:left w:val="none" w:sz="0" w:space="0" w:color="auto"/>
        <w:bottom w:val="none" w:sz="0" w:space="0" w:color="auto"/>
        <w:right w:val="none" w:sz="0" w:space="0" w:color="auto"/>
      </w:divBdr>
    </w:div>
    <w:div w:id="834539230">
      <w:bodyDiv w:val="1"/>
      <w:marLeft w:val="0"/>
      <w:marRight w:val="0"/>
      <w:marTop w:val="0"/>
      <w:marBottom w:val="0"/>
      <w:divBdr>
        <w:top w:val="none" w:sz="0" w:space="0" w:color="auto"/>
        <w:left w:val="none" w:sz="0" w:space="0" w:color="auto"/>
        <w:bottom w:val="none" w:sz="0" w:space="0" w:color="auto"/>
        <w:right w:val="none" w:sz="0" w:space="0" w:color="auto"/>
      </w:divBdr>
      <w:divsChild>
        <w:div w:id="2115318272">
          <w:marLeft w:val="0"/>
          <w:marRight w:val="0"/>
          <w:marTop w:val="0"/>
          <w:marBottom w:val="0"/>
          <w:divBdr>
            <w:top w:val="none" w:sz="0" w:space="0" w:color="auto"/>
            <w:left w:val="none" w:sz="0" w:space="0" w:color="auto"/>
            <w:bottom w:val="none" w:sz="0" w:space="0" w:color="auto"/>
            <w:right w:val="none" w:sz="0" w:space="0" w:color="auto"/>
          </w:divBdr>
          <w:divsChild>
            <w:div w:id="907301070">
              <w:marLeft w:val="0"/>
              <w:marRight w:val="0"/>
              <w:marTop w:val="0"/>
              <w:marBottom w:val="0"/>
              <w:divBdr>
                <w:top w:val="single" w:sz="6" w:space="0" w:color="D4D4D4"/>
                <w:left w:val="none" w:sz="0" w:space="0" w:color="auto"/>
                <w:bottom w:val="none" w:sz="0" w:space="0" w:color="auto"/>
                <w:right w:val="none" w:sz="0" w:space="0" w:color="auto"/>
              </w:divBdr>
              <w:divsChild>
                <w:div w:id="1616788742">
                  <w:marLeft w:val="0"/>
                  <w:marRight w:val="0"/>
                  <w:marTop w:val="0"/>
                  <w:marBottom w:val="0"/>
                  <w:divBdr>
                    <w:top w:val="none" w:sz="0" w:space="0" w:color="auto"/>
                    <w:left w:val="none" w:sz="0" w:space="0" w:color="auto"/>
                    <w:bottom w:val="none" w:sz="0" w:space="0" w:color="auto"/>
                    <w:right w:val="none" w:sz="0" w:space="0" w:color="auto"/>
                  </w:divBdr>
                  <w:divsChild>
                    <w:div w:id="1340157964">
                      <w:marLeft w:val="0"/>
                      <w:marRight w:val="0"/>
                      <w:marTop w:val="0"/>
                      <w:marBottom w:val="0"/>
                      <w:divBdr>
                        <w:top w:val="none" w:sz="0" w:space="0" w:color="auto"/>
                        <w:left w:val="none" w:sz="0" w:space="0" w:color="auto"/>
                        <w:bottom w:val="none" w:sz="0" w:space="0" w:color="auto"/>
                        <w:right w:val="none" w:sz="0" w:space="0" w:color="auto"/>
                      </w:divBdr>
                      <w:divsChild>
                        <w:div w:id="1154444111">
                          <w:marLeft w:val="0"/>
                          <w:marRight w:val="0"/>
                          <w:marTop w:val="0"/>
                          <w:marBottom w:val="0"/>
                          <w:divBdr>
                            <w:top w:val="none" w:sz="0" w:space="0" w:color="auto"/>
                            <w:left w:val="none" w:sz="0" w:space="0" w:color="auto"/>
                            <w:bottom w:val="none" w:sz="0" w:space="0" w:color="auto"/>
                            <w:right w:val="none" w:sz="0" w:space="0" w:color="auto"/>
                          </w:divBdr>
                          <w:divsChild>
                            <w:div w:id="15402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538988">
      <w:bodyDiv w:val="1"/>
      <w:marLeft w:val="0"/>
      <w:marRight w:val="0"/>
      <w:marTop w:val="0"/>
      <w:marBottom w:val="0"/>
      <w:divBdr>
        <w:top w:val="none" w:sz="0" w:space="0" w:color="auto"/>
        <w:left w:val="none" w:sz="0" w:space="0" w:color="auto"/>
        <w:bottom w:val="none" w:sz="0" w:space="0" w:color="auto"/>
        <w:right w:val="none" w:sz="0" w:space="0" w:color="auto"/>
      </w:divBdr>
    </w:div>
    <w:div w:id="1048921219">
      <w:bodyDiv w:val="1"/>
      <w:marLeft w:val="0"/>
      <w:marRight w:val="0"/>
      <w:marTop w:val="0"/>
      <w:marBottom w:val="0"/>
      <w:divBdr>
        <w:top w:val="none" w:sz="0" w:space="0" w:color="auto"/>
        <w:left w:val="none" w:sz="0" w:space="0" w:color="auto"/>
        <w:bottom w:val="none" w:sz="0" w:space="0" w:color="auto"/>
        <w:right w:val="none" w:sz="0" w:space="0" w:color="auto"/>
      </w:divBdr>
    </w:div>
    <w:div w:id="1293974317">
      <w:bodyDiv w:val="1"/>
      <w:marLeft w:val="0"/>
      <w:marRight w:val="0"/>
      <w:marTop w:val="0"/>
      <w:marBottom w:val="0"/>
      <w:divBdr>
        <w:top w:val="none" w:sz="0" w:space="0" w:color="auto"/>
        <w:left w:val="none" w:sz="0" w:space="0" w:color="auto"/>
        <w:bottom w:val="none" w:sz="0" w:space="0" w:color="auto"/>
        <w:right w:val="none" w:sz="0" w:space="0" w:color="auto"/>
      </w:divBdr>
    </w:div>
    <w:div w:id="1803886596">
      <w:bodyDiv w:val="1"/>
      <w:marLeft w:val="0"/>
      <w:marRight w:val="0"/>
      <w:marTop w:val="0"/>
      <w:marBottom w:val="0"/>
      <w:divBdr>
        <w:top w:val="none" w:sz="0" w:space="0" w:color="auto"/>
        <w:left w:val="none" w:sz="0" w:space="0" w:color="auto"/>
        <w:bottom w:val="none" w:sz="0" w:space="0" w:color="auto"/>
        <w:right w:val="none" w:sz="0" w:space="0" w:color="auto"/>
      </w:divBdr>
      <w:divsChild>
        <w:div w:id="315573919">
          <w:marLeft w:val="547"/>
          <w:marRight w:val="0"/>
          <w:marTop w:val="0"/>
          <w:marBottom w:val="0"/>
          <w:divBdr>
            <w:top w:val="none" w:sz="0" w:space="0" w:color="auto"/>
            <w:left w:val="none" w:sz="0" w:space="0" w:color="auto"/>
            <w:bottom w:val="none" w:sz="0" w:space="0" w:color="auto"/>
            <w:right w:val="none" w:sz="0" w:space="0" w:color="auto"/>
          </w:divBdr>
        </w:div>
        <w:div w:id="1145588037">
          <w:marLeft w:val="547"/>
          <w:marRight w:val="0"/>
          <w:marTop w:val="0"/>
          <w:marBottom w:val="0"/>
          <w:divBdr>
            <w:top w:val="none" w:sz="0" w:space="0" w:color="auto"/>
            <w:left w:val="none" w:sz="0" w:space="0" w:color="auto"/>
            <w:bottom w:val="none" w:sz="0" w:space="0" w:color="auto"/>
            <w:right w:val="none" w:sz="0" w:space="0" w:color="auto"/>
          </w:divBdr>
        </w:div>
        <w:div w:id="1471635445">
          <w:marLeft w:val="1166"/>
          <w:marRight w:val="0"/>
          <w:marTop w:val="0"/>
          <w:marBottom w:val="0"/>
          <w:divBdr>
            <w:top w:val="none" w:sz="0" w:space="0" w:color="auto"/>
            <w:left w:val="none" w:sz="0" w:space="0" w:color="auto"/>
            <w:bottom w:val="none" w:sz="0" w:space="0" w:color="auto"/>
            <w:right w:val="none" w:sz="0" w:space="0" w:color="auto"/>
          </w:divBdr>
        </w:div>
      </w:divsChild>
    </w:div>
    <w:div w:id="2012173813">
      <w:bodyDiv w:val="1"/>
      <w:marLeft w:val="0"/>
      <w:marRight w:val="0"/>
      <w:marTop w:val="0"/>
      <w:marBottom w:val="0"/>
      <w:divBdr>
        <w:top w:val="none" w:sz="0" w:space="0" w:color="auto"/>
        <w:left w:val="none" w:sz="0" w:space="0" w:color="auto"/>
        <w:bottom w:val="none" w:sz="0" w:space="0" w:color="auto"/>
        <w:right w:val="none" w:sz="0" w:space="0" w:color="auto"/>
      </w:divBdr>
    </w:div>
    <w:div w:id="202724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D2D003-81EF-4FE5-AA43-10A4427F5865}" type="doc">
      <dgm:prSet loTypeId="urn:microsoft.com/office/officeart/2005/8/layout/matrix3" loCatId="matrix" qsTypeId="urn:microsoft.com/office/officeart/2005/8/quickstyle/simple1" qsCatId="simple" csTypeId="urn:microsoft.com/office/officeart/2005/8/colors/accent1_2" csCatId="accent1" phldr="1"/>
      <dgm:spPr/>
      <dgm:t>
        <a:bodyPr/>
        <a:lstStyle/>
        <a:p>
          <a:endParaRPr lang="en-GB"/>
        </a:p>
      </dgm:t>
    </dgm:pt>
    <dgm:pt modelId="{E4A7C42B-FC6A-4DD8-B4D1-4966ACF268C7}">
      <dgm:prSet phldrT="[Text]"/>
      <dgm:spPr/>
      <dgm:t>
        <a:bodyPr/>
        <a:lstStyle/>
        <a:p>
          <a:pPr algn="ctr"/>
          <a:r>
            <a:rPr lang="en-GB" b="1"/>
            <a:t>Low impact</a:t>
          </a:r>
        </a:p>
        <a:p>
          <a:pPr algn="ctr"/>
          <a:r>
            <a:rPr lang="en-GB" b="1"/>
            <a:t>High public interest</a:t>
          </a:r>
        </a:p>
      </dgm:t>
    </dgm:pt>
    <dgm:pt modelId="{CA214932-2C96-4E6C-B0E9-68305FE8A42B}" type="parTrans" cxnId="{6B9EC9FC-22A4-4307-AA3F-1F8C2A99A7B9}">
      <dgm:prSet/>
      <dgm:spPr/>
      <dgm:t>
        <a:bodyPr/>
        <a:lstStyle/>
        <a:p>
          <a:endParaRPr lang="en-GB"/>
        </a:p>
      </dgm:t>
    </dgm:pt>
    <dgm:pt modelId="{05792E34-3932-4130-92A7-79432EACFF91}" type="sibTrans" cxnId="{6B9EC9FC-22A4-4307-AA3F-1F8C2A99A7B9}">
      <dgm:prSet/>
      <dgm:spPr/>
      <dgm:t>
        <a:bodyPr/>
        <a:lstStyle/>
        <a:p>
          <a:endParaRPr lang="en-GB"/>
        </a:p>
      </dgm:t>
    </dgm:pt>
    <dgm:pt modelId="{0267372E-D2C1-4FEB-9908-5FC4DD070FBE}">
      <dgm:prSet phldrT="[Text]"/>
      <dgm:spPr/>
      <dgm:t>
        <a:bodyPr/>
        <a:lstStyle/>
        <a:p>
          <a:pPr algn="ctr"/>
          <a:r>
            <a:rPr lang="en-GB" b="1"/>
            <a:t>High impact</a:t>
          </a:r>
        </a:p>
        <a:p>
          <a:pPr algn="ctr"/>
          <a:r>
            <a:rPr lang="en-GB" b="1"/>
            <a:t>High public interest</a:t>
          </a:r>
        </a:p>
      </dgm:t>
    </dgm:pt>
    <dgm:pt modelId="{28929913-C23D-470B-9762-48EB5E780328}" type="parTrans" cxnId="{54E3E4DF-C57D-42CC-8AC1-E106008ACD37}">
      <dgm:prSet/>
      <dgm:spPr/>
      <dgm:t>
        <a:bodyPr/>
        <a:lstStyle/>
        <a:p>
          <a:endParaRPr lang="en-GB"/>
        </a:p>
      </dgm:t>
    </dgm:pt>
    <dgm:pt modelId="{ACE823BD-DE7E-4CBB-894A-7D913B7312DA}" type="sibTrans" cxnId="{54E3E4DF-C57D-42CC-8AC1-E106008ACD37}">
      <dgm:prSet/>
      <dgm:spPr/>
      <dgm:t>
        <a:bodyPr/>
        <a:lstStyle/>
        <a:p>
          <a:endParaRPr lang="en-GB"/>
        </a:p>
      </dgm:t>
    </dgm:pt>
    <dgm:pt modelId="{8A74DDD3-863F-45D8-BD43-20A9B0EBBB86}">
      <dgm:prSet phldrT="[Text]"/>
      <dgm:spPr/>
      <dgm:t>
        <a:bodyPr/>
        <a:lstStyle/>
        <a:p>
          <a:pPr algn="ctr"/>
          <a:r>
            <a:rPr lang="en-GB" b="1"/>
            <a:t>Low impact</a:t>
          </a:r>
        </a:p>
        <a:p>
          <a:pPr algn="ctr"/>
          <a:r>
            <a:rPr lang="en-GB" b="1"/>
            <a:t>Low public interest</a:t>
          </a:r>
        </a:p>
      </dgm:t>
    </dgm:pt>
    <dgm:pt modelId="{5366D8A9-8AF0-4689-94C5-BDDCE1223D4E}" type="parTrans" cxnId="{E8B14E0D-1E80-4D17-8FBB-E6FBCC59AD96}">
      <dgm:prSet/>
      <dgm:spPr/>
      <dgm:t>
        <a:bodyPr/>
        <a:lstStyle/>
        <a:p>
          <a:endParaRPr lang="en-GB"/>
        </a:p>
      </dgm:t>
    </dgm:pt>
    <dgm:pt modelId="{758F9BDA-4FCE-4E31-B6AE-F803DCE9A6BA}" type="sibTrans" cxnId="{E8B14E0D-1E80-4D17-8FBB-E6FBCC59AD96}">
      <dgm:prSet/>
      <dgm:spPr/>
      <dgm:t>
        <a:bodyPr/>
        <a:lstStyle/>
        <a:p>
          <a:endParaRPr lang="en-GB"/>
        </a:p>
      </dgm:t>
    </dgm:pt>
    <dgm:pt modelId="{341CF449-35E8-4050-8460-448FC735621D}">
      <dgm:prSet phldrT="[Text]"/>
      <dgm:spPr/>
      <dgm:t>
        <a:bodyPr/>
        <a:lstStyle/>
        <a:p>
          <a:pPr algn="ctr"/>
          <a:r>
            <a:rPr lang="en-GB" b="1"/>
            <a:t>High impact</a:t>
          </a:r>
        </a:p>
        <a:p>
          <a:pPr algn="ctr"/>
          <a:r>
            <a:rPr lang="en-GB" b="1"/>
            <a:t>Low public interest</a:t>
          </a:r>
        </a:p>
      </dgm:t>
    </dgm:pt>
    <dgm:pt modelId="{7EFF9AAD-6C84-422B-88C0-F0D0019190F1}" type="parTrans" cxnId="{A906CF48-EB8A-4E4D-B8ED-3950860FCF50}">
      <dgm:prSet/>
      <dgm:spPr/>
      <dgm:t>
        <a:bodyPr/>
        <a:lstStyle/>
        <a:p>
          <a:endParaRPr lang="en-GB"/>
        </a:p>
      </dgm:t>
    </dgm:pt>
    <dgm:pt modelId="{EA9BDEE6-87CE-4782-9ECE-CD3C7EB11CD6}" type="sibTrans" cxnId="{A906CF48-EB8A-4E4D-B8ED-3950860FCF50}">
      <dgm:prSet/>
      <dgm:spPr/>
      <dgm:t>
        <a:bodyPr/>
        <a:lstStyle/>
        <a:p>
          <a:endParaRPr lang="en-GB"/>
        </a:p>
      </dgm:t>
    </dgm:pt>
    <dgm:pt modelId="{EBEDD625-37F5-440A-BAE9-CF8A2C47DFB5}">
      <dgm:prSet/>
      <dgm:spPr/>
      <dgm:t>
        <a:bodyPr/>
        <a:lstStyle/>
        <a:p>
          <a:pPr algn="l"/>
          <a:r>
            <a:rPr lang="en-GB"/>
            <a:t>internally focussed </a:t>
          </a:r>
        </a:p>
      </dgm:t>
    </dgm:pt>
    <dgm:pt modelId="{4986AB70-5E8A-4D2F-9B45-49317711AAB1}" type="parTrans" cxnId="{BD7EE676-7858-4254-A054-3AA62EE3B3FB}">
      <dgm:prSet/>
      <dgm:spPr/>
      <dgm:t>
        <a:bodyPr/>
        <a:lstStyle/>
        <a:p>
          <a:endParaRPr lang="en-GB"/>
        </a:p>
      </dgm:t>
    </dgm:pt>
    <dgm:pt modelId="{6DBAC2FB-A9DE-43E4-85B3-4947236DA6B0}" type="sibTrans" cxnId="{BD7EE676-7858-4254-A054-3AA62EE3B3FB}">
      <dgm:prSet/>
      <dgm:spPr/>
      <dgm:t>
        <a:bodyPr/>
        <a:lstStyle/>
        <a:p>
          <a:endParaRPr lang="en-GB"/>
        </a:p>
      </dgm:t>
    </dgm:pt>
    <dgm:pt modelId="{8903FBF1-5A21-49DC-84CF-154DB8D32D98}">
      <dgm:prSet/>
      <dgm:spPr/>
      <dgm:t>
        <a:bodyPr/>
        <a:lstStyle/>
        <a:p>
          <a:pPr algn="l"/>
          <a:r>
            <a:rPr lang="en-GB"/>
            <a:t>routine decisions</a:t>
          </a:r>
        </a:p>
      </dgm:t>
    </dgm:pt>
    <dgm:pt modelId="{A448C481-C9E5-4033-97ED-E2CFEAD5D684}" type="parTrans" cxnId="{6623886F-5B81-4CF7-AE6E-154EA54FF76F}">
      <dgm:prSet/>
      <dgm:spPr/>
      <dgm:t>
        <a:bodyPr/>
        <a:lstStyle/>
        <a:p>
          <a:endParaRPr lang="en-GB"/>
        </a:p>
      </dgm:t>
    </dgm:pt>
    <dgm:pt modelId="{60252A8C-C482-45DF-8655-280C63157A6D}" type="sibTrans" cxnId="{6623886F-5B81-4CF7-AE6E-154EA54FF76F}">
      <dgm:prSet/>
      <dgm:spPr/>
      <dgm:t>
        <a:bodyPr/>
        <a:lstStyle/>
        <a:p>
          <a:endParaRPr lang="en-GB"/>
        </a:p>
      </dgm:t>
    </dgm:pt>
    <dgm:pt modelId="{ADC58D4E-D60E-48BA-9454-BCD1F999D467}">
      <dgm:prSet/>
      <dgm:spPr/>
      <dgm:t>
        <a:bodyPr/>
        <a:lstStyle/>
        <a:p>
          <a:pPr algn="l"/>
          <a:r>
            <a:rPr lang="en-GB"/>
            <a:t>signficant cost</a:t>
          </a:r>
        </a:p>
      </dgm:t>
    </dgm:pt>
    <dgm:pt modelId="{C3A37296-4EEC-4209-BF39-233245E9A581}" type="parTrans" cxnId="{83697417-AC72-4AD2-B1E9-E2BB6DBDFE8B}">
      <dgm:prSet/>
      <dgm:spPr/>
      <dgm:t>
        <a:bodyPr/>
        <a:lstStyle/>
        <a:p>
          <a:endParaRPr lang="en-GB"/>
        </a:p>
      </dgm:t>
    </dgm:pt>
    <dgm:pt modelId="{C49BCBCE-0499-492C-80D6-EB8A1110C1F1}" type="sibTrans" cxnId="{83697417-AC72-4AD2-B1E9-E2BB6DBDFE8B}">
      <dgm:prSet/>
      <dgm:spPr/>
      <dgm:t>
        <a:bodyPr/>
        <a:lstStyle/>
        <a:p>
          <a:endParaRPr lang="en-GB"/>
        </a:p>
      </dgm:t>
    </dgm:pt>
    <dgm:pt modelId="{8AC11015-D146-4D1A-9601-7C793EA44203}">
      <dgm:prSet/>
      <dgm:spPr/>
      <dgm:t>
        <a:bodyPr/>
        <a:lstStyle/>
        <a:p>
          <a:pPr algn="l"/>
          <a:r>
            <a:rPr lang="en-GB"/>
            <a:t>high risk</a:t>
          </a:r>
        </a:p>
      </dgm:t>
    </dgm:pt>
    <dgm:pt modelId="{D3F57F63-D40D-478A-892F-A3FA9D407CD5}" type="parTrans" cxnId="{29B52785-733B-4E04-96FE-9E07D1324479}">
      <dgm:prSet/>
      <dgm:spPr/>
      <dgm:t>
        <a:bodyPr/>
        <a:lstStyle/>
        <a:p>
          <a:endParaRPr lang="en-GB"/>
        </a:p>
      </dgm:t>
    </dgm:pt>
    <dgm:pt modelId="{16B785CD-D39C-4049-92FC-3F725CFA5961}" type="sibTrans" cxnId="{29B52785-733B-4E04-96FE-9E07D1324479}">
      <dgm:prSet/>
      <dgm:spPr/>
      <dgm:t>
        <a:bodyPr/>
        <a:lstStyle/>
        <a:p>
          <a:endParaRPr lang="en-GB"/>
        </a:p>
      </dgm:t>
    </dgm:pt>
    <dgm:pt modelId="{2D0BFA2D-D855-45ED-8B03-E033390FBB79}">
      <dgm:prSet/>
      <dgm:spPr/>
      <dgm:t>
        <a:bodyPr/>
        <a:lstStyle/>
        <a:p>
          <a:pPr algn="l"/>
          <a:r>
            <a:rPr lang="en-GB"/>
            <a:t>affecting service delivery</a:t>
          </a:r>
        </a:p>
      </dgm:t>
    </dgm:pt>
    <dgm:pt modelId="{96F9A67A-A51D-4F6D-9C47-02158EB01B96}" type="parTrans" cxnId="{82192DB5-BDEB-4774-82F6-D59529974F04}">
      <dgm:prSet/>
      <dgm:spPr/>
      <dgm:t>
        <a:bodyPr/>
        <a:lstStyle/>
        <a:p>
          <a:endParaRPr lang="en-GB"/>
        </a:p>
      </dgm:t>
    </dgm:pt>
    <dgm:pt modelId="{F84496CB-82B9-4E20-A69E-7FA31B67D5E9}" type="sibTrans" cxnId="{82192DB5-BDEB-4774-82F6-D59529974F04}">
      <dgm:prSet/>
      <dgm:spPr/>
      <dgm:t>
        <a:bodyPr/>
        <a:lstStyle/>
        <a:p>
          <a:endParaRPr lang="en-GB"/>
        </a:p>
      </dgm:t>
    </dgm:pt>
    <dgm:pt modelId="{4F6EB0AC-449D-441F-B8CE-50ABB9ECA3D0}">
      <dgm:prSet/>
      <dgm:spPr/>
      <dgm:t>
        <a:bodyPr/>
        <a:lstStyle/>
        <a:p>
          <a:pPr algn="l"/>
          <a:r>
            <a:rPr lang="en-GB"/>
            <a:t>relating to how the PCC/CC conducts business</a:t>
          </a:r>
        </a:p>
      </dgm:t>
    </dgm:pt>
    <dgm:pt modelId="{CB241275-5926-4509-879F-F8E7759A57F0}" type="parTrans" cxnId="{DFE1BA84-E853-4F1C-93B6-101E72FF2A01}">
      <dgm:prSet/>
      <dgm:spPr/>
      <dgm:t>
        <a:bodyPr/>
        <a:lstStyle/>
        <a:p>
          <a:endParaRPr lang="en-GB"/>
        </a:p>
      </dgm:t>
    </dgm:pt>
    <dgm:pt modelId="{18EE1590-0114-4103-A818-B83B21F30814}" type="sibTrans" cxnId="{DFE1BA84-E853-4F1C-93B6-101E72FF2A01}">
      <dgm:prSet/>
      <dgm:spPr/>
      <dgm:t>
        <a:bodyPr/>
        <a:lstStyle/>
        <a:p>
          <a:endParaRPr lang="en-GB"/>
        </a:p>
      </dgm:t>
    </dgm:pt>
    <dgm:pt modelId="{3ECB0381-4B49-48DE-9C6A-0CCC99B8472A}">
      <dgm:prSet/>
      <dgm:spPr/>
      <dgm:t>
        <a:bodyPr/>
        <a:lstStyle/>
        <a:p>
          <a:pPr algn="l"/>
          <a:r>
            <a:rPr lang="en-GB"/>
            <a:t>outside of budget</a:t>
          </a:r>
        </a:p>
      </dgm:t>
    </dgm:pt>
    <dgm:pt modelId="{0554F594-4F6A-47C9-8A0A-9BBEBCF21431}" type="parTrans" cxnId="{C835A601-B0B5-40D8-9BAD-7AA3CB8D7E3B}">
      <dgm:prSet/>
      <dgm:spPr/>
      <dgm:t>
        <a:bodyPr/>
        <a:lstStyle/>
        <a:p>
          <a:endParaRPr lang="en-GB"/>
        </a:p>
      </dgm:t>
    </dgm:pt>
    <dgm:pt modelId="{B5C6703E-F09D-48FC-8AF9-0320C1034543}" type="sibTrans" cxnId="{C835A601-B0B5-40D8-9BAD-7AA3CB8D7E3B}">
      <dgm:prSet/>
      <dgm:spPr/>
      <dgm:t>
        <a:bodyPr/>
        <a:lstStyle/>
        <a:p>
          <a:endParaRPr lang="en-GB"/>
        </a:p>
      </dgm:t>
    </dgm:pt>
    <dgm:pt modelId="{9452B766-FEC7-4C4F-8F69-6E5CC0DB67BF}" type="pres">
      <dgm:prSet presAssocID="{99D2D003-81EF-4FE5-AA43-10A4427F5865}" presName="matrix" presStyleCnt="0">
        <dgm:presLayoutVars>
          <dgm:chMax val="1"/>
          <dgm:dir/>
          <dgm:resizeHandles val="exact"/>
        </dgm:presLayoutVars>
      </dgm:prSet>
      <dgm:spPr/>
      <dgm:t>
        <a:bodyPr/>
        <a:lstStyle/>
        <a:p>
          <a:endParaRPr lang="en-GB"/>
        </a:p>
      </dgm:t>
    </dgm:pt>
    <dgm:pt modelId="{9D4D6E6E-9CBA-4EF2-8C18-7D1F394DE072}" type="pres">
      <dgm:prSet presAssocID="{99D2D003-81EF-4FE5-AA43-10A4427F5865}" presName="diamond" presStyleLbl="bgShp" presStyleIdx="0" presStyleCnt="1"/>
      <dgm:spPr/>
    </dgm:pt>
    <dgm:pt modelId="{000A5C50-6A10-4BC8-8A19-AE3FEF4334B6}" type="pres">
      <dgm:prSet presAssocID="{99D2D003-81EF-4FE5-AA43-10A4427F5865}" presName="quad1" presStyleLbl="node1" presStyleIdx="0" presStyleCnt="4">
        <dgm:presLayoutVars>
          <dgm:chMax val="0"/>
          <dgm:chPref val="0"/>
          <dgm:bulletEnabled val="1"/>
        </dgm:presLayoutVars>
      </dgm:prSet>
      <dgm:spPr/>
      <dgm:t>
        <a:bodyPr/>
        <a:lstStyle/>
        <a:p>
          <a:endParaRPr lang="en-GB"/>
        </a:p>
      </dgm:t>
    </dgm:pt>
    <dgm:pt modelId="{52202291-CB99-49C1-96E0-DB56BAE03C97}" type="pres">
      <dgm:prSet presAssocID="{99D2D003-81EF-4FE5-AA43-10A4427F5865}" presName="quad2" presStyleLbl="node1" presStyleIdx="1" presStyleCnt="4">
        <dgm:presLayoutVars>
          <dgm:chMax val="0"/>
          <dgm:chPref val="0"/>
          <dgm:bulletEnabled val="1"/>
        </dgm:presLayoutVars>
      </dgm:prSet>
      <dgm:spPr/>
      <dgm:t>
        <a:bodyPr/>
        <a:lstStyle/>
        <a:p>
          <a:endParaRPr lang="en-GB"/>
        </a:p>
      </dgm:t>
    </dgm:pt>
    <dgm:pt modelId="{EB205C31-1C9C-46BE-A00C-6CE74C24CA66}" type="pres">
      <dgm:prSet presAssocID="{99D2D003-81EF-4FE5-AA43-10A4427F5865}" presName="quad3" presStyleLbl="node1" presStyleIdx="2" presStyleCnt="4">
        <dgm:presLayoutVars>
          <dgm:chMax val="0"/>
          <dgm:chPref val="0"/>
          <dgm:bulletEnabled val="1"/>
        </dgm:presLayoutVars>
      </dgm:prSet>
      <dgm:spPr/>
      <dgm:t>
        <a:bodyPr/>
        <a:lstStyle/>
        <a:p>
          <a:endParaRPr lang="en-GB"/>
        </a:p>
      </dgm:t>
    </dgm:pt>
    <dgm:pt modelId="{EF83312B-C3B6-4C53-8B07-AAF5F89D0417}" type="pres">
      <dgm:prSet presAssocID="{99D2D003-81EF-4FE5-AA43-10A4427F5865}" presName="quad4" presStyleLbl="node1" presStyleIdx="3" presStyleCnt="4">
        <dgm:presLayoutVars>
          <dgm:chMax val="0"/>
          <dgm:chPref val="0"/>
          <dgm:bulletEnabled val="1"/>
        </dgm:presLayoutVars>
      </dgm:prSet>
      <dgm:spPr/>
      <dgm:t>
        <a:bodyPr/>
        <a:lstStyle/>
        <a:p>
          <a:endParaRPr lang="en-GB"/>
        </a:p>
      </dgm:t>
    </dgm:pt>
  </dgm:ptLst>
  <dgm:cxnLst>
    <dgm:cxn modelId="{C835A601-B0B5-40D8-9BAD-7AA3CB8D7E3B}" srcId="{0267372E-D2C1-4FEB-9908-5FC4DD070FBE}" destId="{3ECB0381-4B49-48DE-9C6A-0CCC99B8472A}" srcOrd="1" destOrd="0" parTransId="{0554F594-4F6A-47C9-8A0A-9BBEBCF21431}" sibTransId="{B5C6703E-F09D-48FC-8AF9-0320C1034543}"/>
    <dgm:cxn modelId="{6745E844-1FEB-4B67-A6C7-973313A96F10}" type="presOf" srcId="{99D2D003-81EF-4FE5-AA43-10A4427F5865}" destId="{9452B766-FEC7-4C4F-8F69-6E5CC0DB67BF}" srcOrd="0" destOrd="0" presId="urn:microsoft.com/office/officeart/2005/8/layout/matrix3"/>
    <dgm:cxn modelId="{54E3E4DF-C57D-42CC-8AC1-E106008ACD37}" srcId="{99D2D003-81EF-4FE5-AA43-10A4427F5865}" destId="{0267372E-D2C1-4FEB-9908-5FC4DD070FBE}" srcOrd="1" destOrd="0" parTransId="{28929913-C23D-470B-9762-48EB5E780328}" sibTransId="{ACE823BD-DE7E-4CBB-894A-7D913B7312DA}"/>
    <dgm:cxn modelId="{A4A70893-42CF-4FA6-88D9-5032D0B196A1}" type="presOf" srcId="{ADC58D4E-D60E-48BA-9454-BCD1F999D467}" destId="{EF83312B-C3B6-4C53-8B07-AAF5F89D0417}" srcOrd="0" destOrd="1" presId="urn:microsoft.com/office/officeart/2005/8/layout/matrix3"/>
    <dgm:cxn modelId="{8D9C5AAE-A595-403E-B40C-7E5811F18BE2}" type="presOf" srcId="{0267372E-D2C1-4FEB-9908-5FC4DD070FBE}" destId="{52202291-CB99-49C1-96E0-DB56BAE03C97}" srcOrd="0" destOrd="0" presId="urn:microsoft.com/office/officeart/2005/8/layout/matrix3"/>
    <dgm:cxn modelId="{B8BBAD82-48E0-492B-8E75-AAEAFF23FE4B}" type="presOf" srcId="{8AC11015-D146-4D1A-9601-7C793EA44203}" destId="{EF83312B-C3B6-4C53-8B07-AAF5F89D0417}" srcOrd="0" destOrd="2" presId="urn:microsoft.com/office/officeart/2005/8/layout/matrix3"/>
    <dgm:cxn modelId="{A906CF48-EB8A-4E4D-B8ED-3950860FCF50}" srcId="{99D2D003-81EF-4FE5-AA43-10A4427F5865}" destId="{341CF449-35E8-4050-8460-448FC735621D}" srcOrd="3" destOrd="0" parTransId="{7EFF9AAD-6C84-422B-88C0-F0D0019190F1}" sibTransId="{EA9BDEE6-87CE-4782-9ECE-CD3C7EB11CD6}"/>
    <dgm:cxn modelId="{1D9DA26D-71F2-4E55-B54D-EE0CDBC14487}" type="presOf" srcId="{4F6EB0AC-449D-441F-B8CE-50ABB9ECA3D0}" destId="{000A5C50-6A10-4BC8-8A19-AE3FEF4334B6}" srcOrd="0" destOrd="1" presId="urn:microsoft.com/office/officeart/2005/8/layout/matrix3"/>
    <dgm:cxn modelId="{82192DB5-BDEB-4774-82F6-D59529974F04}" srcId="{0267372E-D2C1-4FEB-9908-5FC4DD070FBE}" destId="{2D0BFA2D-D855-45ED-8B03-E033390FBB79}" srcOrd="0" destOrd="0" parTransId="{96F9A67A-A51D-4F6D-9C47-02158EB01B96}" sibTransId="{F84496CB-82B9-4E20-A69E-7FA31B67D5E9}"/>
    <dgm:cxn modelId="{6B9EC9FC-22A4-4307-AA3F-1F8C2A99A7B9}" srcId="{99D2D003-81EF-4FE5-AA43-10A4427F5865}" destId="{E4A7C42B-FC6A-4DD8-B4D1-4966ACF268C7}" srcOrd="0" destOrd="0" parTransId="{CA214932-2C96-4E6C-B0E9-68305FE8A42B}" sibTransId="{05792E34-3932-4130-92A7-79432EACFF91}"/>
    <dgm:cxn modelId="{F847E8C7-BD06-4796-9293-4400AE302046}" type="presOf" srcId="{2D0BFA2D-D855-45ED-8B03-E033390FBB79}" destId="{52202291-CB99-49C1-96E0-DB56BAE03C97}" srcOrd="0" destOrd="1" presId="urn:microsoft.com/office/officeart/2005/8/layout/matrix3"/>
    <dgm:cxn modelId="{6BECBEB6-BB8B-46B4-BDD9-E0E557DE09C6}" type="presOf" srcId="{8903FBF1-5A21-49DC-84CF-154DB8D32D98}" destId="{EB205C31-1C9C-46BE-A00C-6CE74C24CA66}" srcOrd="0" destOrd="2" presId="urn:microsoft.com/office/officeart/2005/8/layout/matrix3"/>
    <dgm:cxn modelId="{29B52785-733B-4E04-96FE-9E07D1324479}" srcId="{341CF449-35E8-4050-8460-448FC735621D}" destId="{8AC11015-D146-4D1A-9601-7C793EA44203}" srcOrd="1" destOrd="0" parTransId="{D3F57F63-D40D-478A-892F-A3FA9D407CD5}" sibTransId="{16B785CD-D39C-4049-92FC-3F725CFA5961}"/>
    <dgm:cxn modelId="{83697417-AC72-4AD2-B1E9-E2BB6DBDFE8B}" srcId="{341CF449-35E8-4050-8460-448FC735621D}" destId="{ADC58D4E-D60E-48BA-9454-BCD1F999D467}" srcOrd="0" destOrd="0" parTransId="{C3A37296-4EEC-4209-BF39-233245E9A581}" sibTransId="{C49BCBCE-0499-492C-80D6-EB8A1110C1F1}"/>
    <dgm:cxn modelId="{6623886F-5B81-4CF7-AE6E-154EA54FF76F}" srcId="{8A74DDD3-863F-45D8-BD43-20A9B0EBBB86}" destId="{8903FBF1-5A21-49DC-84CF-154DB8D32D98}" srcOrd="1" destOrd="0" parTransId="{A448C481-C9E5-4033-97ED-E2CFEAD5D684}" sibTransId="{60252A8C-C482-45DF-8655-280C63157A6D}"/>
    <dgm:cxn modelId="{5EBC0D5D-5478-4536-823B-C81809F72EB0}" type="presOf" srcId="{3ECB0381-4B49-48DE-9C6A-0CCC99B8472A}" destId="{52202291-CB99-49C1-96E0-DB56BAE03C97}" srcOrd="0" destOrd="2" presId="urn:microsoft.com/office/officeart/2005/8/layout/matrix3"/>
    <dgm:cxn modelId="{BD7EE676-7858-4254-A054-3AA62EE3B3FB}" srcId="{8A74DDD3-863F-45D8-BD43-20A9B0EBBB86}" destId="{EBEDD625-37F5-440A-BAE9-CF8A2C47DFB5}" srcOrd="0" destOrd="0" parTransId="{4986AB70-5E8A-4D2F-9B45-49317711AAB1}" sibTransId="{6DBAC2FB-A9DE-43E4-85B3-4947236DA6B0}"/>
    <dgm:cxn modelId="{39B531D1-83FF-4BC2-8A68-DED437F9E202}" type="presOf" srcId="{8A74DDD3-863F-45D8-BD43-20A9B0EBBB86}" destId="{EB205C31-1C9C-46BE-A00C-6CE74C24CA66}" srcOrd="0" destOrd="0" presId="urn:microsoft.com/office/officeart/2005/8/layout/matrix3"/>
    <dgm:cxn modelId="{AED1A615-12C1-4787-BE40-BAC9D7C12A98}" type="presOf" srcId="{EBEDD625-37F5-440A-BAE9-CF8A2C47DFB5}" destId="{EB205C31-1C9C-46BE-A00C-6CE74C24CA66}" srcOrd="0" destOrd="1" presId="urn:microsoft.com/office/officeart/2005/8/layout/matrix3"/>
    <dgm:cxn modelId="{DFE1BA84-E853-4F1C-93B6-101E72FF2A01}" srcId="{E4A7C42B-FC6A-4DD8-B4D1-4966ACF268C7}" destId="{4F6EB0AC-449D-441F-B8CE-50ABB9ECA3D0}" srcOrd="0" destOrd="0" parTransId="{CB241275-5926-4509-879F-F8E7759A57F0}" sibTransId="{18EE1590-0114-4103-A818-B83B21F30814}"/>
    <dgm:cxn modelId="{61883AAE-21BB-4F31-91DB-2611B156046B}" type="presOf" srcId="{E4A7C42B-FC6A-4DD8-B4D1-4966ACF268C7}" destId="{000A5C50-6A10-4BC8-8A19-AE3FEF4334B6}" srcOrd="0" destOrd="0" presId="urn:microsoft.com/office/officeart/2005/8/layout/matrix3"/>
    <dgm:cxn modelId="{EA1A619A-5354-4E5C-A3F3-0EAF5DD3C220}" type="presOf" srcId="{341CF449-35E8-4050-8460-448FC735621D}" destId="{EF83312B-C3B6-4C53-8B07-AAF5F89D0417}" srcOrd="0" destOrd="0" presId="urn:microsoft.com/office/officeart/2005/8/layout/matrix3"/>
    <dgm:cxn modelId="{E8B14E0D-1E80-4D17-8FBB-E6FBCC59AD96}" srcId="{99D2D003-81EF-4FE5-AA43-10A4427F5865}" destId="{8A74DDD3-863F-45D8-BD43-20A9B0EBBB86}" srcOrd="2" destOrd="0" parTransId="{5366D8A9-8AF0-4689-94C5-BDDCE1223D4E}" sibTransId="{758F9BDA-4FCE-4E31-B6AE-F803DCE9A6BA}"/>
    <dgm:cxn modelId="{F150505B-6463-46B4-9A21-18D56FEE96FF}" type="presParOf" srcId="{9452B766-FEC7-4C4F-8F69-6E5CC0DB67BF}" destId="{9D4D6E6E-9CBA-4EF2-8C18-7D1F394DE072}" srcOrd="0" destOrd="0" presId="urn:microsoft.com/office/officeart/2005/8/layout/matrix3"/>
    <dgm:cxn modelId="{02FF471A-AF3B-4D82-84FB-E6B83D14AA0D}" type="presParOf" srcId="{9452B766-FEC7-4C4F-8F69-6E5CC0DB67BF}" destId="{000A5C50-6A10-4BC8-8A19-AE3FEF4334B6}" srcOrd="1" destOrd="0" presId="urn:microsoft.com/office/officeart/2005/8/layout/matrix3"/>
    <dgm:cxn modelId="{583AF26F-AC67-420B-8EC4-A155AF2098A8}" type="presParOf" srcId="{9452B766-FEC7-4C4F-8F69-6E5CC0DB67BF}" destId="{52202291-CB99-49C1-96E0-DB56BAE03C97}" srcOrd="2" destOrd="0" presId="urn:microsoft.com/office/officeart/2005/8/layout/matrix3"/>
    <dgm:cxn modelId="{E71AD50D-A0E1-4488-A674-5606E507C95C}" type="presParOf" srcId="{9452B766-FEC7-4C4F-8F69-6E5CC0DB67BF}" destId="{EB205C31-1C9C-46BE-A00C-6CE74C24CA66}" srcOrd="3" destOrd="0" presId="urn:microsoft.com/office/officeart/2005/8/layout/matrix3"/>
    <dgm:cxn modelId="{B713F20C-E965-4D81-A918-60D2E65DF9CD}" type="presParOf" srcId="{9452B766-FEC7-4C4F-8F69-6E5CC0DB67BF}" destId="{EF83312B-C3B6-4C53-8B07-AAF5F89D0417}" srcOrd="4" destOrd="0" presId="urn:microsoft.com/office/officeart/2005/8/layout/matrix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4D6E6E-9CBA-4EF2-8C18-7D1F394DE072}">
      <dsp:nvSpPr>
        <dsp:cNvPr id="0" name=""/>
        <dsp:cNvSpPr/>
      </dsp:nvSpPr>
      <dsp:spPr>
        <a:xfrm>
          <a:off x="558799" y="0"/>
          <a:ext cx="4495800" cy="4495800"/>
        </a:xfrm>
        <a:prstGeom prst="diamond">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000A5C50-6A10-4BC8-8A19-AE3FEF4334B6}">
      <dsp:nvSpPr>
        <dsp:cNvPr id="0" name=""/>
        <dsp:cNvSpPr/>
      </dsp:nvSpPr>
      <dsp:spPr>
        <a:xfrm>
          <a:off x="985901" y="427101"/>
          <a:ext cx="1753362" cy="17533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GB" sz="1600" b="1" kern="1200"/>
            <a:t>Low impact</a:t>
          </a:r>
        </a:p>
        <a:p>
          <a:pPr lvl="0" algn="ctr" defTabSz="711200">
            <a:lnSpc>
              <a:spcPct val="90000"/>
            </a:lnSpc>
            <a:spcBef>
              <a:spcPct val="0"/>
            </a:spcBef>
            <a:spcAft>
              <a:spcPct val="35000"/>
            </a:spcAft>
          </a:pPr>
          <a:r>
            <a:rPr lang="en-GB" sz="1600" b="1" kern="1200"/>
            <a:t>High public interest</a:t>
          </a:r>
        </a:p>
        <a:p>
          <a:pPr marL="114300" lvl="1" indent="-114300" algn="l" defTabSz="533400">
            <a:lnSpc>
              <a:spcPct val="90000"/>
            </a:lnSpc>
            <a:spcBef>
              <a:spcPct val="0"/>
            </a:spcBef>
            <a:spcAft>
              <a:spcPct val="15000"/>
            </a:spcAft>
            <a:buChar char="••"/>
          </a:pPr>
          <a:r>
            <a:rPr lang="en-GB" sz="1200" kern="1200"/>
            <a:t>relating to how the PCC/CC conducts business</a:t>
          </a:r>
        </a:p>
      </dsp:txBody>
      <dsp:txXfrm>
        <a:off x="1071493" y="512693"/>
        <a:ext cx="1582178" cy="1582178"/>
      </dsp:txXfrm>
    </dsp:sp>
    <dsp:sp modelId="{52202291-CB99-49C1-96E0-DB56BAE03C97}">
      <dsp:nvSpPr>
        <dsp:cNvPr id="0" name=""/>
        <dsp:cNvSpPr/>
      </dsp:nvSpPr>
      <dsp:spPr>
        <a:xfrm>
          <a:off x="2874137" y="427101"/>
          <a:ext cx="1753362" cy="17533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GB" sz="1600" b="1" kern="1200"/>
            <a:t>High impact</a:t>
          </a:r>
        </a:p>
        <a:p>
          <a:pPr lvl="0" algn="ctr" defTabSz="711200">
            <a:lnSpc>
              <a:spcPct val="90000"/>
            </a:lnSpc>
            <a:spcBef>
              <a:spcPct val="0"/>
            </a:spcBef>
            <a:spcAft>
              <a:spcPct val="35000"/>
            </a:spcAft>
          </a:pPr>
          <a:r>
            <a:rPr lang="en-GB" sz="1600" b="1" kern="1200"/>
            <a:t>High public interest</a:t>
          </a:r>
        </a:p>
        <a:p>
          <a:pPr marL="114300" lvl="1" indent="-114300" algn="l" defTabSz="533400">
            <a:lnSpc>
              <a:spcPct val="90000"/>
            </a:lnSpc>
            <a:spcBef>
              <a:spcPct val="0"/>
            </a:spcBef>
            <a:spcAft>
              <a:spcPct val="15000"/>
            </a:spcAft>
            <a:buChar char="••"/>
          </a:pPr>
          <a:r>
            <a:rPr lang="en-GB" sz="1200" kern="1200"/>
            <a:t>affecting service delivery</a:t>
          </a:r>
        </a:p>
        <a:p>
          <a:pPr marL="114300" lvl="1" indent="-114300" algn="l" defTabSz="533400">
            <a:lnSpc>
              <a:spcPct val="90000"/>
            </a:lnSpc>
            <a:spcBef>
              <a:spcPct val="0"/>
            </a:spcBef>
            <a:spcAft>
              <a:spcPct val="15000"/>
            </a:spcAft>
            <a:buChar char="••"/>
          </a:pPr>
          <a:r>
            <a:rPr lang="en-GB" sz="1200" kern="1200"/>
            <a:t>outside of budget</a:t>
          </a:r>
        </a:p>
      </dsp:txBody>
      <dsp:txXfrm>
        <a:off x="2959729" y="512693"/>
        <a:ext cx="1582178" cy="1582178"/>
      </dsp:txXfrm>
    </dsp:sp>
    <dsp:sp modelId="{EB205C31-1C9C-46BE-A00C-6CE74C24CA66}">
      <dsp:nvSpPr>
        <dsp:cNvPr id="0" name=""/>
        <dsp:cNvSpPr/>
      </dsp:nvSpPr>
      <dsp:spPr>
        <a:xfrm>
          <a:off x="985901" y="2315337"/>
          <a:ext cx="1753362" cy="17533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GB" sz="1600" b="1" kern="1200"/>
            <a:t>Low impact</a:t>
          </a:r>
        </a:p>
        <a:p>
          <a:pPr lvl="0" algn="ctr" defTabSz="711200">
            <a:lnSpc>
              <a:spcPct val="90000"/>
            </a:lnSpc>
            <a:spcBef>
              <a:spcPct val="0"/>
            </a:spcBef>
            <a:spcAft>
              <a:spcPct val="35000"/>
            </a:spcAft>
          </a:pPr>
          <a:r>
            <a:rPr lang="en-GB" sz="1600" b="1" kern="1200"/>
            <a:t>Low public interest</a:t>
          </a:r>
        </a:p>
        <a:p>
          <a:pPr marL="114300" lvl="1" indent="-114300" algn="l" defTabSz="533400">
            <a:lnSpc>
              <a:spcPct val="90000"/>
            </a:lnSpc>
            <a:spcBef>
              <a:spcPct val="0"/>
            </a:spcBef>
            <a:spcAft>
              <a:spcPct val="15000"/>
            </a:spcAft>
            <a:buChar char="••"/>
          </a:pPr>
          <a:r>
            <a:rPr lang="en-GB" sz="1200" kern="1200"/>
            <a:t>internally focussed </a:t>
          </a:r>
        </a:p>
        <a:p>
          <a:pPr marL="114300" lvl="1" indent="-114300" algn="l" defTabSz="533400">
            <a:lnSpc>
              <a:spcPct val="90000"/>
            </a:lnSpc>
            <a:spcBef>
              <a:spcPct val="0"/>
            </a:spcBef>
            <a:spcAft>
              <a:spcPct val="15000"/>
            </a:spcAft>
            <a:buChar char="••"/>
          </a:pPr>
          <a:r>
            <a:rPr lang="en-GB" sz="1200" kern="1200"/>
            <a:t>routine decisions</a:t>
          </a:r>
        </a:p>
      </dsp:txBody>
      <dsp:txXfrm>
        <a:off x="1071493" y="2400929"/>
        <a:ext cx="1582178" cy="1582178"/>
      </dsp:txXfrm>
    </dsp:sp>
    <dsp:sp modelId="{EF83312B-C3B6-4C53-8B07-AAF5F89D0417}">
      <dsp:nvSpPr>
        <dsp:cNvPr id="0" name=""/>
        <dsp:cNvSpPr/>
      </dsp:nvSpPr>
      <dsp:spPr>
        <a:xfrm>
          <a:off x="2874137" y="2315337"/>
          <a:ext cx="1753362" cy="1753362"/>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t" anchorCtr="0">
          <a:noAutofit/>
        </a:bodyPr>
        <a:lstStyle/>
        <a:p>
          <a:pPr lvl="0" algn="ctr" defTabSz="711200">
            <a:lnSpc>
              <a:spcPct val="90000"/>
            </a:lnSpc>
            <a:spcBef>
              <a:spcPct val="0"/>
            </a:spcBef>
            <a:spcAft>
              <a:spcPct val="35000"/>
            </a:spcAft>
          </a:pPr>
          <a:r>
            <a:rPr lang="en-GB" sz="1600" b="1" kern="1200"/>
            <a:t>High impact</a:t>
          </a:r>
        </a:p>
        <a:p>
          <a:pPr lvl="0" algn="ctr" defTabSz="711200">
            <a:lnSpc>
              <a:spcPct val="90000"/>
            </a:lnSpc>
            <a:spcBef>
              <a:spcPct val="0"/>
            </a:spcBef>
            <a:spcAft>
              <a:spcPct val="35000"/>
            </a:spcAft>
          </a:pPr>
          <a:r>
            <a:rPr lang="en-GB" sz="1600" b="1" kern="1200"/>
            <a:t>Low public interest</a:t>
          </a:r>
        </a:p>
        <a:p>
          <a:pPr marL="114300" lvl="1" indent="-114300" algn="l" defTabSz="533400">
            <a:lnSpc>
              <a:spcPct val="90000"/>
            </a:lnSpc>
            <a:spcBef>
              <a:spcPct val="0"/>
            </a:spcBef>
            <a:spcAft>
              <a:spcPct val="15000"/>
            </a:spcAft>
            <a:buChar char="••"/>
          </a:pPr>
          <a:r>
            <a:rPr lang="en-GB" sz="1200" kern="1200"/>
            <a:t>signficant cost</a:t>
          </a:r>
        </a:p>
        <a:p>
          <a:pPr marL="114300" lvl="1" indent="-114300" algn="l" defTabSz="533400">
            <a:lnSpc>
              <a:spcPct val="90000"/>
            </a:lnSpc>
            <a:spcBef>
              <a:spcPct val="0"/>
            </a:spcBef>
            <a:spcAft>
              <a:spcPct val="15000"/>
            </a:spcAft>
            <a:buChar char="••"/>
          </a:pPr>
          <a:r>
            <a:rPr lang="en-GB" sz="1200" kern="1200"/>
            <a:t>high risk</a:t>
          </a:r>
        </a:p>
      </dsp:txBody>
      <dsp:txXfrm>
        <a:off x="2959729" y="2400929"/>
        <a:ext cx="1582178" cy="1582178"/>
      </dsp:txXfrm>
    </dsp:sp>
  </dsp:spTree>
</dsp:drawing>
</file>

<file path=word/diagrams/layout1.xml><?xml version="1.0" encoding="utf-8"?>
<dgm:layoutDef xmlns:dgm="http://schemas.openxmlformats.org/drawingml/2006/diagram" xmlns:a="http://schemas.openxmlformats.org/drawingml/2006/main" uniqueId="urn:microsoft.com/office/officeart/2005/8/layout/matrix3">
  <dgm:title val=""/>
  <dgm:desc val=""/>
  <dgm:catLst>
    <dgm:cat type="matrix" pri="1000"/>
    <dgm:cat type="convert" pri="18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w" for="ch" forName="diamond" refType="w"/>
          <dgm:constr type="h" for="ch" forName="diamond" refType="h"/>
          <dgm:constr type="w" for="ch" forName="quad1" refType="w" fact="0.39"/>
          <dgm:constr type="h" for="ch" forName="quad1" refType="h" fact="0.39"/>
          <dgm:constr type="ctrX" for="ch" forName="quad1" refType="w" fact="0.29"/>
          <dgm:constr type="ctrY" for="ch" forName="quad1" refType="h" fact="0.29"/>
          <dgm:constr type="w" for="ch" forName="quad2" refType="w" fact="0.39"/>
          <dgm:constr type="h" for="ch" forName="quad2" refType="h" fact="0.39"/>
          <dgm:constr type="ctrX" for="ch" forName="quad2" refType="w" fact="0.71"/>
          <dgm:constr type="ctrY" for="ch" forName="quad2" refType="h" fact="0.29"/>
          <dgm:constr type="w" for="ch" forName="quad3" refType="w" fact="0.39"/>
          <dgm:constr type="h" for="ch" forName="quad3" refType="h" fact="0.39"/>
          <dgm:constr type="ctrX" for="ch" forName="quad3" refType="w" fact="0.29"/>
          <dgm:constr type="ctrY" for="ch" forName="quad3" refType="h" fact="0.71"/>
          <dgm:constr type="w" for="ch" forName="quad4" refType="w" fact="0.39"/>
          <dgm:constr type="h" for="ch" forName="quad4" refType="h" fact="0.39"/>
          <dgm:constr type="ctrX" for="ch" forName="quad4" refType="w" fact="0.71"/>
          <dgm:constr type="ctrY" for="ch" forName="quad4" refType="h" fact="0.71"/>
          <dgm:constr type="primFontSz" for="des" ptType="node" op="equ" val="65"/>
        </dgm:constrLst>
      </dgm:if>
      <dgm:else name="Name2">
        <dgm:constrLst>
          <dgm:constr type="w" for="ch" forName="diamond" refType="w"/>
          <dgm:constr type="h" for="ch" forName="diamond" refType="h"/>
          <dgm:constr type="w" for="ch" forName="quad1" refType="w" fact="0.39"/>
          <dgm:constr type="h" for="ch" forName="quad1" refType="h" fact="0.39"/>
          <dgm:constr type="ctrX" for="ch" forName="quad1" refType="w" fact="0.71"/>
          <dgm:constr type="ctrY" for="ch" forName="quad1" refType="h" fact="0.29"/>
          <dgm:constr type="w" for="ch" forName="quad2" refType="w" fact="0.39"/>
          <dgm:constr type="h" for="ch" forName="quad2" refType="h" fact="0.39"/>
          <dgm:constr type="ctrX" for="ch" forName="quad2" refType="w" fact="0.29"/>
          <dgm:constr type="ctrY" for="ch" forName="quad2" refType="h" fact="0.29"/>
          <dgm:constr type="w" for="ch" forName="quad3" refType="w" fact="0.39"/>
          <dgm:constr type="h" for="ch" forName="quad3" refType="h" fact="0.39"/>
          <dgm:constr type="ctrX" for="ch" forName="quad3" refType="w" fact="0.71"/>
          <dgm:constr type="ctrY" for="ch" forName="quad3" refType="h" fact="0.71"/>
          <dgm:constr type="w" for="ch" forName="quad4" refType="w" fact="0.39"/>
          <dgm:constr type="h" for="ch" forName="quad4" refType="h" fact="0.39"/>
          <dgm:constr type="ctrX" for="ch" forName="quad4" refType="w" fact="0.29"/>
          <dgm:constr type="ctrY" for="ch" forName="quad4" refType="h" fact="0.71"/>
          <dgm:constr type="primFontSz" for="des" ptType="node" op="equ" val="65"/>
        </dgm:constrLst>
      </dgm:else>
    </dgm:choose>
    <dgm:ruleLst/>
    <dgm:choose name="Name3">
      <dgm:if name="Name4" axis="ch" ptType="node" func="cnt" op="gte" val="1">
        <dgm:layoutNode name="diamond" styleLbl="bgShp">
          <dgm:alg type="sp"/>
          <dgm:shape xmlns:r="http://schemas.openxmlformats.org/officeDocument/2006/relationships" type="diamond" r:blip="">
            <dgm:adjLst/>
          </dgm:shape>
          <dgm:presOf/>
          <dgm:constrLst>
            <dgm:constr type="w" refType="h" op="equ"/>
          </dgm:constrLst>
          <dgm:ruleLst/>
        </dgm:layoutNode>
        <dgm:layoutNode name="quad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quad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w" refType="h" op="equ"/>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Policy</DocType2>
    <Financial_x0020_Period xmlns="242c32be-31bf-422c-ab0d-7abc8ae381ac" xsi:nil="true"/>
    <Estates_x0020_1 xmlns="242c32be-31bf-422c-ab0d-7abc8ae381ac"/>
    <Financial_x0020_Period0 xmlns="242c32be-31bf-422c-ab0d-7abc8ae381ac" xsi:nil="true"/>
    <Topic xmlns="242c32be-31bf-422c-ab0d-7abc8ae381ac">Compliance</Topic>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3000-03-30T23:00:00+00:00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8C6A4-2E7D-4F17-A360-7F19C02DC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3A2078-FE94-4235-855E-8F0E76F391D6}">
  <ds:schemaRefs>
    <ds:schemaRef ds:uri="http://purl.org/dc/terms/"/>
    <ds:schemaRef ds:uri="242c32be-31bf-422c-ab0d-7abc8ae381ac"/>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cf6dc0cf-1d45-4a2f-a37f-b5391cb0490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3E15AE9-E647-47AC-BF00-1150D1FA6F13}">
  <ds:schemaRefs>
    <ds:schemaRef ds:uri="http://schemas.microsoft.com/sharepoint/v3/contenttype/forms"/>
  </ds:schemaRefs>
</ds:datastoreItem>
</file>

<file path=customXml/itemProps4.xml><?xml version="1.0" encoding="utf-8"?>
<ds:datastoreItem xmlns:ds="http://schemas.openxmlformats.org/officeDocument/2006/customXml" ds:itemID="{3ED0FC63-6ABA-4331-BAC0-666324E3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Heddlu Dyfed-Powys Police</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Angharad;Claire Bryant</dc:creator>
  <cp:lastModifiedBy>Price Donna OPCC</cp:lastModifiedBy>
  <cp:revision>2</cp:revision>
  <cp:lastPrinted>2016-01-25T13:30:00Z</cp:lastPrinted>
  <dcterms:created xsi:type="dcterms:W3CDTF">2019-08-08T09:24:00Z</dcterms:created>
  <dcterms:modified xsi:type="dcterms:W3CDTF">2019-08-08T09:24:00Z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Order">
    <vt:r8>3723500</vt:r8>
  </property>
  <property fmtid="{D5CDD505-2E9C-101B-9397-08002B2CF9AE}" pid="5" name="TitusGUID">
    <vt:lpwstr>8c7409c7-39e8-4502-aef2-f6bd2bc61b1b</vt:lpwstr>
  </property>
</Properties>
</file>