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B6CD" w14:textId="703D8E09" w:rsidR="000A2B11" w:rsidRDefault="000A2B11" w:rsidP="000A2B11">
      <w:pPr>
        <w:spacing w:after="120"/>
        <w:jc w:val="center"/>
        <w:rPr>
          <w:rFonts w:ascii="Arial Bold" w:hAnsi="Arial Bold" w:cs="Arial"/>
          <w:b/>
          <w:caps/>
        </w:rPr>
      </w:pPr>
      <w:r>
        <w:rPr>
          <w:rFonts w:ascii="Arial Bold" w:hAnsi="Arial Bold" w:cs="Arial"/>
          <w:b/>
          <w:caps/>
        </w:rPr>
        <w:t>C</w:t>
      </w:r>
      <w:r w:rsidRPr="000A2B11">
        <w:rPr>
          <w:rFonts w:ascii="Arial Bold" w:hAnsi="Arial Bold" w:cs="Arial"/>
          <w:b/>
        </w:rPr>
        <w:t>orporate Governance Framework</w:t>
      </w:r>
    </w:p>
    <w:p w14:paraId="176248D5" w14:textId="6D31A51A" w:rsidR="0041436A" w:rsidRPr="000A2B11" w:rsidRDefault="000A2B11" w:rsidP="000A2B11">
      <w:pPr>
        <w:spacing w:after="120"/>
        <w:jc w:val="center"/>
        <w:rPr>
          <w:rFonts w:ascii="Arial Bold" w:hAnsi="Arial Bold" w:cs="Arial"/>
          <w:b/>
          <w:caps/>
        </w:rPr>
      </w:pPr>
      <w:r w:rsidRPr="000A2B11">
        <w:rPr>
          <w:rFonts w:ascii="Arial Bold" w:hAnsi="Arial Bold" w:cs="Arial"/>
          <w:b/>
        </w:rPr>
        <w:t>Frequently Asked Questions</w:t>
      </w:r>
    </w:p>
    <w:p w14:paraId="555C1C84" w14:textId="77777777" w:rsidR="0041436A" w:rsidRDefault="0041436A" w:rsidP="000A2B11">
      <w:pPr>
        <w:spacing w:after="120"/>
        <w:jc w:val="both"/>
        <w:rPr>
          <w:rFonts w:ascii="Arial" w:hAnsi="Arial" w:cs="Arial"/>
        </w:rPr>
      </w:pPr>
    </w:p>
    <w:p w14:paraId="22A8AE4A" w14:textId="3CF232F0" w:rsidR="00914AD7" w:rsidRPr="0041436A" w:rsidRDefault="000A2B11" w:rsidP="000A2B11">
      <w:pPr>
        <w:spacing w:after="120"/>
        <w:jc w:val="both"/>
        <w:rPr>
          <w:rFonts w:ascii="Arial" w:hAnsi="Arial" w:cs="Arial"/>
          <w:b/>
        </w:rPr>
      </w:pPr>
      <w:r w:rsidRPr="0041436A">
        <w:rPr>
          <w:rFonts w:ascii="Arial" w:hAnsi="Arial" w:cs="Arial"/>
          <w:b/>
        </w:rPr>
        <w:t>1</w:t>
      </w:r>
      <w:r w:rsidRPr="0041436A">
        <w:rPr>
          <w:rFonts w:ascii="Arial" w:hAnsi="Arial" w:cs="Arial"/>
          <w:b/>
        </w:rPr>
        <w:tab/>
        <w:t>WHAT IS THE CORPORATE GOVERNANCE FRAMEWORK?</w:t>
      </w:r>
    </w:p>
    <w:p w14:paraId="309E21A1" w14:textId="3B66096C" w:rsidR="00D81BE1" w:rsidRPr="0041436A" w:rsidRDefault="00D81BE1" w:rsidP="000A2B11">
      <w:pPr>
        <w:spacing w:after="120"/>
        <w:ind w:left="720"/>
        <w:jc w:val="both"/>
        <w:rPr>
          <w:rFonts w:ascii="Arial" w:hAnsi="Arial" w:cs="Arial"/>
        </w:rPr>
      </w:pPr>
      <w:r w:rsidRPr="0041436A">
        <w:rPr>
          <w:rFonts w:ascii="Arial" w:hAnsi="Arial" w:cs="Arial"/>
        </w:rPr>
        <w:t>The C</w:t>
      </w:r>
      <w:r w:rsidR="00603228">
        <w:rPr>
          <w:rFonts w:ascii="Arial" w:hAnsi="Arial" w:cs="Arial"/>
        </w:rPr>
        <w:t xml:space="preserve">orporate </w:t>
      </w:r>
      <w:r w:rsidRPr="0041436A">
        <w:rPr>
          <w:rFonts w:ascii="Arial" w:hAnsi="Arial" w:cs="Arial"/>
        </w:rPr>
        <w:t>G</w:t>
      </w:r>
      <w:r w:rsidR="00603228">
        <w:rPr>
          <w:rFonts w:ascii="Arial" w:hAnsi="Arial" w:cs="Arial"/>
        </w:rPr>
        <w:t xml:space="preserve">overnance </w:t>
      </w:r>
      <w:r w:rsidRPr="0041436A">
        <w:rPr>
          <w:rFonts w:ascii="Arial" w:hAnsi="Arial" w:cs="Arial"/>
        </w:rPr>
        <w:t>F</w:t>
      </w:r>
      <w:r w:rsidR="003A4F8C">
        <w:rPr>
          <w:rFonts w:ascii="Arial" w:hAnsi="Arial" w:cs="Arial"/>
        </w:rPr>
        <w:t>ramework (</w:t>
      </w:r>
      <w:r w:rsidR="00603228">
        <w:rPr>
          <w:rFonts w:ascii="Arial" w:hAnsi="Arial" w:cs="Arial"/>
        </w:rPr>
        <w:t>C</w:t>
      </w:r>
      <w:r w:rsidR="003A4F8C">
        <w:rPr>
          <w:rFonts w:ascii="Arial" w:hAnsi="Arial" w:cs="Arial"/>
        </w:rPr>
        <w:t>G</w:t>
      </w:r>
      <w:r w:rsidR="00603228">
        <w:rPr>
          <w:rFonts w:ascii="Arial" w:hAnsi="Arial" w:cs="Arial"/>
        </w:rPr>
        <w:t>F)</w:t>
      </w:r>
      <w:r w:rsidRPr="0041436A">
        <w:rPr>
          <w:rFonts w:ascii="Arial" w:hAnsi="Arial" w:cs="Arial"/>
        </w:rPr>
        <w:t xml:space="preserve"> is a document that sets out the systems, processes, culture and values by which the Office of the Police and Crime Commissioner and Dyfed-Powys Police are governed.   </w:t>
      </w:r>
    </w:p>
    <w:p w14:paraId="3C3300BC" w14:textId="0D54A20F" w:rsidR="003B4415" w:rsidRPr="0041436A" w:rsidRDefault="000A2B11" w:rsidP="000A2B11">
      <w:pPr>
        <w:spacing w:before="240" w:after="120"/>
        <w:jc w:val="both"/>
        <w:rPr>
          <w:rFonts w:ascii="Arial" w:hAnsi="Arial" w:cs="Arial"/>
          <w:b/>
        </w:rPr>
      </w:pPr>
      <w:r w:rsidRPr="0041436A">
        <w:rPr>
          <w:rFonts w:ascii="Arial" w:hAnsi="Arial" w:cs="Arial"/>
          <w:b/>
        </w:rPr>
        <w:t>2</w:t>
      </w:r>
      <w:r w:rsidRPr="0041436A">
        <w:rPr>
          <w:rFonts w:ascii="Arial" w:hAnsi="Arial" w:cs="Arial"/>
          <w:b/>
        </w:rPr>
        <w:tab/>
        <w:t>WHY DO WE NEED A CGF?</w:t>
      </w:r>
    </w:p>
    <w:p w14:paraId="351A48E1" w14:textId="5B3BC749" w:rsidR="00D81BE1" w:rsidRPr="0041436A" w:rsidRDefault="00D81BE1" w:rsidP="000A2B11">
      <w:pPr>
        <w:spacing w:after="120"/>
        <w:ind w:left="720"/>
        <w:jc w:val="both"/>
        <w:rPr>
          <w:rFonts w:ascii="Arial" w:hAnsi="Arial" w:cs="Arial"/>
        </w:rPr>
      </w:pPr>
      <w:r w:rsidRPr="0041436A">
        <w:rPr>
          <w:rFonts w:ascii="Arial" w:hAnsi="Arial" w:cs="Arial"/>
        </w:rPr>
        <w:t xml:space="preserve">Governance is about ensuring that the right things are done in the right way, for the right </w:t>
      </w:r>
      <w:r w:rsidR="0041436A" w:rsidRPr="0041436A">
        <w:rPr>
          <w:rFonts w:ascii="Arial" w:hAnsi="Arial" w:cs="Arial"/>
        </w:rPr>
        <w:t xml:space="preserve">reason and at the right time, </w:t>
      </w:r>
      <w:r w:rsidRPr="0041436A">
        <w:rPr>
          <w:rFonts w:ascii="Arial" w:hAnsi="Arial" w:cs="Arial"/>
        </w:rPr>
        <w:t>in a</w:t>
      </w:r>
      <w:r w:rsidR="00603228">
        <w:rPr>
          <w:rFonts w:ascii="Arial" w:hAnsi="Arial" w:cs="Arial"/>
        </w:rPr>
        <w:t>n</w:t>
      </w:r>
      <w:r w:rsidRPr="0041436A">
        <w:rPr>
          <w:rFonts w:ascii="Arial" w:hAnsi="Arial" w:cs="Arial"/>
        </w:rPr>
        <w:t xml:space="preserve"> </w:t>
      </w:r>
      <w:r w:rsidR="0041436A" w:rsidRPr="0041436A">
        <w:rPr>
          <w:rFonts w:ascii="Arial" w:hAnsi="Arial" w:cs="Arial"/>
        </w:rPr>
        <w:t>open and transparent</w:t>
      </w:r>
      <w:r w:rsidRPr="0041436A">
        <w:rPr>
          <w:rFonts w:ascii="Arial" w:hAnsi="Arial" w:cs="Arial"/>
        </w:rPr>
        <w:t xml:space="preserve"> way. Good governance leads to good management, good performance and good stewardship of public money and ultimately good outcomes for the public.</w:t>
      </w:r>
    </w:p>
    <w:p w14:paraId="0BAFFA73" w14:textId="77FE291A" w:rsidR="003B4415" w:rsidRPr="0041436A" w:rsidRDefault="000A2B11" w:rsidP="000A2B11">
      <w:pPr>
        <w:spacing w:before="240" w:after="120"/>
        <w:jc w:val="both"/>
        <w:rPr>
          <w:rFonts w:ascii="Arial" w:hAnsi="Arial" w:cs="Arial"/>
          <w:b/>
        </w:rPr>
      </w:pPr>
      <w:r w:rsidRPr="0041436A">
        <w:rPr>
          <w:rFonts w:ascii="Arial" w:hAnsi="Arial" w:cs="Arial"/>
          <w:b/>
        </w:rPr>
        <w:t>3</w:t>
      </w:r>
      <w:r w:rsidRPr="0041436A">
        <w:rPr>
          <w:rFonts w:ascii="Arial" w:hAnsi="Arial" w:cs="Arial"/>
          <w:b/>
        </w:rPr>
        <w:tab/>
        <w:t>WHAT IS INCLUDED IN THE CGF?</w:t>
      </w:r>
    </w:p>
    <w:p w14:paraId="0B9FA4A3" w14:textId="52AB6F03" w:rsidR="0041436A" w:rsidRPr="0041436A" w:rsidRDefault="0041436A" w:rsidP="000A2B11">
      <w:pPr>
        <w:spacing w:after="120"/>
        <w:ind w:firstLine="709"/>
        <w:jc w:val="both"/>
        <w:rPr>
          <w:rFonts w:ascii="Arial" w:hAnsi="Arial" w:cs="Arial"/>
        </w:rPr>
      </w:pPr>
      <w:r w:rsidRPr="0041436A">
        <w:rPr>
          <w:rFonts w:ascii="Arial" w:hAnsi="Arial" w:cs="Arial"/>
        </w:rPr>
        <w:t>The CGF consists of a number of documents:</w:t>
      </w:r>
    </w:p>
    <w:p w14:paraId="35383FBD" w14:textId="59CE124A" w:rsidR="0041436A" w:rsidRPr="00603228" w:rsidRDefault="006D44DD" w:rsidP="000A2B11">
      <w:pPr>
        <w:spacing w:after="120"/>
        <w:ind w:left="709"/>
        <w:jc w:val="both"/>
        <w:rPr>
          <w:rFonts w:ascii="Arial" w:hAnsi="Arial" w:cs="Arial"/>
        </w:rPr>
      </w:pPr>
      <w:hyperlink w:anchor="_Statement_of_Corporate_1" w:history="1">
        <w:r w:rsidR="0041436A" w:rsidRPr="005C7AAC">
          <w:rPr>
            <w:rStyle w:val="Hyperlink"/>
            <w:rFonts w:ascii="Arial" w:hAnsi="Arial" w:cs="Arial"/>
            <w:b/>
            <w:i/>
            <w:color w:val="00B0F0"/>
            <w:u w:val="none"/>
          </w:rPr>
          <w:t>Statement of Corporate Governance</w:t>
        </w:r>
      </w:hyperlink>
      <w:r w:rsidR="0041436A" w:rsidRPr="00603228">
        <w:rPr>
          <w:rFonts w:ascii="Arial" w:hAnsi="Arial" w:cs="Arial"/>
        </w:rPr>
        <w:t xml:space="preserve"> – sets out the statutory framework within which the PCC and Chief Constable will operate, including their roles and responsibilities as set out in legislation</w:t>
      </w:r>
      <w:r w:rsidR="00603228" w:rsidRPr="00603228">
        <w:rPr>
          <w:rFonts w:ascii="Arial" w:hAnsi="Arial" w:cs="Arial"/>
        </w:rPr>
        <w:t>.</w:t>
      </w:r>
    </w:p>
    <w:p w14:paraId="208F30D9" w14:textId="6A7D5812" w:rsidR="0041436A" w:rsidRPr="00603228" w:rsidRDefault="006D44DD" w:rsidP="000A2B11">
      <w:pPr>
        <w:spacing w:after="120"/>
        <w:ind w:left="709"/>
        <w:jc w:val="both"/>
        <w:rPr>
          <w:rFonts w:ascii="Arial" w:hAnsi="Arial" w:cs="Arial"/>
        </w:rPr>
      </w:pPr>
      <w:hyperlink w:anchor="_Code_of_Corporate" w:history="1">
        <w:r w:rsidR="0041436A" w:rsidRPr="005C7AAC">
          <w:rPr>
            <w:rStyle w:val="Hyperlink"/>
            <w:rFonts w:ascii="Arial" w:hAnsi="Arial" w:cs="Arial"/>
            <w:b/>
            <w:i/>
            <w:color w:val="00B0F0"/>
            <w:u w:val="none"/>
          </w:rPr>
          <w:t>Code of Corporate Governance</w:t>
        </w:r>
      </w:hyperlink>
      <w:r w:rsidR="0041436A" w:rsidRPr="00603228">
        <w:rPr>
          <w:rFonts w:ascii="Arial" w:hAnsi="Arial" w:cs="Arial"/>
        </w:rPr>
        <w:t xml:space="preserve"> – sets out the core principles of good governance</w:t>
      </w:r>
      <w:r w:rsidR="005C7AAC">
        <w:rPr>
          <w:rFonts w:ascii="Arial" w:hAnsi="Arial" w:cs="Arial"/>
        </w:rPr>
        <w:t xml:space="preserve"> in </w:t>
      </w:r>
      <w:r w:rsidR="00672D92" w:rsidRPr="00603228">
        <w:rPr>
          <w:rFonts w:ascii="Arial" w:hAnsi="Arial" w:cs="Arial"/>
        </w:rPr>
        <w:t>policing</w:t>
      </w:r>
      <w:r w:rsidR="0041436A" w:rsidRPr="00603228">
        <w:rPr>
          <w:rFonts w:ascii="Arial" w:hAnsi="Arial" w:cs="Arial"/>
        </w:rPr>
        <w:t>.</w:t>
      </w:r>
    </w:p>
    <w:p w14:paraId="3051C0BC" w14:textId="395EA70B" w:rsidR="0041436A" w:rsidRPr="00603228" w:rsidRDefault="006D44DD" w:rsidP="000A2B11">
      <w:pPr>
        <w:spacing w:after="120"/>
        <w:ind w:left="709"/>
        <w:jc w:val="both"/>
        <w:rPr>
          <w:rFonts w:ascii="Arial" w:hAnsi="Arial" w:cs="Arial"/>
        </w:rPr>
      </w:pPr>
      <w:hyperlink w:anchor="_Scheme_of_Corporate" w:history="1">
        <w:r w:rsidR="0041436A" w:rsidRPr="005C7AAC">
          <w:rPr>
            <w:rStyle w:val="Hyperlink"/>
            <w:rFonts w:ascii="Arial" w:hAnsi="Arial" w:cs="Arial"/>
            <w:b/>
            <w:i/>
            <w:color w:val="00B0F0"/>
            <w:u w:val="none"/>
          </w:rPr>
          <w:t>Scheme of Corporate Governance</w:t>
        </w:r>
      </w:hyperlink>
      <w:r w:rsidR="0041436A" w:rsidRPr="00603228">
        <w:rPr>
          <w:rFonts w:ascii="Arial" w:hAnsi="Arial" w:cs="Arial"/>
          <w:i/>
        </w:rPr>
        <w:t xml:space="preserve"> </w:t>
      </w:r>
      <w:r w:rsidR="0041436A" w:rsidRPr="00603228">
        <w:rPr>
          <w:rFonts w:ascii="Arial" w:hAnsi="Arial" w:cs="Arial"/>
        </w:rPr>
        <w:t xml:space="preserve">– </w:t>
      </w:r>
      <w:r w:rsidR="003E3121" w:rsidRPr="00603228">
        <w:rPr>
          <w:rFonts w:ascii="Arial" w:hAnsi="Arial" w:cs="Arial"/>
        </w:rPr>
        <w:t>compr</w:t>
      </w:r>
      <w:r w:rsidR="005C7AAC">
        <w:rPr>
          <w:rFonts w:ascii="Arial" w:hAnsi="Arial" w:cs="Arial"/>
        </w:rPr>
        <w:t xml:space="preserve">ises a number of documents that </w:t>
      </w:r>
      <w:r w:rsidR="003E3121" w:rsidRPr="00603228">
        <w:rPr>
          <w:rFonts w:ascii="Arial" w:hAnsi="Arial" w:cs="Arial"/>
        </w:rPr>
        <w:t xml:space="preserve">collectively </w:t>
      </w:r>
      <w:r w:rsidR="0041436A" w:rsidRPr="00603228">
        <w:rPr>
          <w:rFonts w:ascii="Arial" w:hAnsi="Arial" w:cs="Arial"/>
        </w:rPr>
        <w:t xml:space="preserve">set out </w:t>
      </w:r>
      <w:r w:rsidR="00672D92" w:rsidRPr="00603228">
        <w:rPr>
          <w:rFonts w:ascii="Arial" w:hAnsi="Arial" w:cs="Arial"/>
        </w:rPr>
        <w:t xml:space="preserve">how </w:t>
      </w:r>
      <w:r w:rsidR="0041436A" w:rsidRPr="00603228">
        <w:rPr>
          <w:rFonts w:ascii="Arial" w:hAnsi="Arial" w:cs="Arial"/>
        </w:rPr>
        <w:t xml:space="preserve">the two organisations will conduct business to ensure that </w:t>
      </w:r>
      <w:r w:rsidR="00672D92" w:rsidRPr="00603228">
        <w:rPr>
          <w:rFonts w:ascii="Arial" w:hAnsi="Arial" w:cs="Arial"/>
        </w:rPr>
        <w:lastRenderedPageBreak/>
        <w:t>it i</w:t>
      </w:r>
      <w:r w:rsidR="0041436A" w:rsidRPr="00603228">
        <w:rPr>
          <w:rFonts w:ascii="Arial" w:hAnsi="Arial" w:cs="Arial"/>
        </w:rPr>
        <w:t>s carried out efficiently and that decisions are open, transparent and not unnecessarily delayed.</w:t>
      </w:r>
      <w:r w:rsidR="00AB351E" w:rsidRPr="00603228">
        <w:rPr>
          <w:rFonts w:ascii="Arial" w:hAnsi="Arial" w:cs="Arial"/>
        </w:rPr>
        <w:t xml:space="preserve">  These documents include:</w:t>
      </w:r>
    </w:p>
    <w:p w14:paraId="3864CB21" w14:textId="77777777" w:rsidR="00603228" w:rsidRPr="006850AB" w:rsidRDefault="006D44DD" w:rsidP="000A2B11">
      <w:pPr>
        <w:pStyle w:val="Default"/>
        <w:numPr>
          <w:ilvl w:val="3"/>
          <w:numId w:val="4"/>
        </w:numPr>
        <w:spacing w:line="276" w:lineRule="auto"/>
        <w:ind w:left="1775" w:hanging="357"/>
        <w:jc w:val="both"/>
        <w:rPr>
          <w:rFonts w:ascii="Arial" w:hAnsi="Arial" w:cs="Arial"/>
          <w:sz w:val="22"/>
          <w:szCs w:val="22"/>
        </w:rPr>
      </w:pPr>
      <w:hyperlink w:anchor="_1__Scheme" w:history="1">
        <w:r w:rsidR="00AB351E" w:rsidRPr="006850AB">
          <w:rPr>
            <w:rStyle w:val="Hyperlink"/>
            <w:rFonts w:ascii="Arial" w:hAnsi="Arial" w:cs="Arial"/>
            <w:i/>
            <w:color w:val="auto"/>
            <w:sz w:val="22"/>
            <w:szCs w:val="22"/>
            <w:u w:val="none"/>
          </w:rPr>
          <w:t>Scheme of consent</w:t>
        </w:r>
      </w:hyperlink>
      <w:r w:rsidR="00AB351E" w:rsidRPr="006850AB">
        <w:rPr>
          <w:rStyle w:val="Hyperlink"/>
          <w:rFonts w:ascii="Arial" w:hAnsi="Arial" w:cs="Arial"/>
          <w:color w:val="auto"/>
          <w:sz w:val="22"/>
          <w:szCs w:val="22"/>
          <w:u w:val="none"/>
        </w:rPr>
        <w:t xml:space="preserve"> – the </w:t>
      </w:r>
      <w:r w:rsidR="00AB351E" w:rsidRPr="006850AB">
        <w:rPr>
          <w:rFonts w:ascii="Arial" w:hAnsi="Arial" w:cs="Arial"/>
          <w:sz w:val="22"/>
          <w:szCs w:val="22"/>
        </w:rPr>
        <w:t>key roles that the PCC “consents” to the CC undertaking as a separate legal entity;</w:t>
      </w:r>
    </w:p>
    <w:p w14:paraId="0DC9F22C" w14:textId="0DD1892F" w:rsidR="00AB351E" w:rsidRPr="006850AB" w:rsidRDefault="006D44DD" w:rsidP="000A2B11">
      <w:pPr>
        <w:pStyle w:val="Default"/>
        <w:numPr>
          <w:ilvl w:val="2"/>
          <w:numId w:val="4"/>
        </w:numPr>
        <w:spacing w:line="276" w:lineRule="auto"/>
        <w:ind w:left="1775" w:hanging="357"/>
        <w:jc w:val="both"/>
        <w:rPr>
          <w:rFonts w:ascii="Arial" w:hAnsi="Arial" w:cs="Arial"/>
          <w:sz w:val="22"/>
          <w:szCs w:val="22"/>
        </w:rPr>
      </w:pPr>
      <w:hyperlink w:anchor="_2__Scheme" w:history="1">
        <w:r w:rsidR="00AB351E" w:rsidRPr="006850AB">
          <w:rPr>
            <w:rStyle w:val="Hyperlink"/>
            <w:rFonts w:ascii="Arial" w:hAnsi="Arial" w:cs="Arial"/>
            <w:i/>
            <w:color w:val="auto"/>
            <w:sz w:val="22"/>
            <w:szCs w:val="22"/>
            <w:u w:val="none"/>
          </w:rPr>
          <w:t>Scheme of delegation</w:t>
        </w:r>
      </w:hyperlink>
      <w:r w:rsidR="00AB351E" w:rsidRPr="006850AB">
        <w:rPr>
          <w:rFonts w:ascii="Arial" w:hAnsi="Arial" w:cs="Arial"/>
          <w:sz w:val="22"/>
          <w:szCs w:val="22"/>
        </w:rPr>
        <w:t xml:space="preserve"> - the key roles of the PCC and the CC, and the assignment of authority and responsibility that they delegate to others;</w:t>
      </w:r>
    </w:p>
    <w:p w14:paraId="175C2D25" w14:textId="32D61916" w:rsidR="00AB351E" w:rsidRPr="006850AB" w:rsidRDefault="006D44DD" w:rsidP="000A2B11">
      <w:pPr>
        <w:pStyle w:val="ListParagraph"/>
        <w:numPr>
          <w:ilvl w:val="2"/>
          <w:numId w:val="4"/>
        </w:numPr>
        <w:spacing w:after="0"/>
        <w:ind w:left="1775" w:hanging="357"/>
        <w:contextualSpacing w:val="0"/>
        <w:jc w:val="both"/>
        <w:rPr>
          <w:rFonts w:ascii="Arial" w:hAnsi="Arial" w:cs="Arial"/>
        </w:rPr>
      </w:pPr>
      <w:hyperlink w:anchor="_3_Decision-making" w:history="1">
        <w:r w:rsidR="00AB351E" w:rsidRPr="006850AB">
          <w:rPr>
            <w:rStyle w:val="Hyperlink"/>
            <w:rFonts w:ascii="Arial" w:hAnsi="Arial" w:cs="Arial"/>
            <w:i/>
            <w:color w:val="auto"/>
            <w:u w:val="none"/>
          </w:rPr>
          <w:t>Decision-making</w:t>
        </w:r>
      </w:hyperlink>
      <w:r w:rsidR="00AB351E" w:rsidRPr="006850AB">
        <w:rPr>
          <w:rFonts w:ascii="Arial" w:hAnsi="Arial" w:cs="Arial"/>
          <w:i/>
        </w:rPr>
        <w:t xml:space="preserve"> </w:t>
      </w:r>
      <w:r w:rsidR="00AB351E" w:rsidRPr="006850AB">
        <w:rPr>
          <w:rFonts w:ascii="Arial" w:hAnsi="Arial" w:cs="Arial"/>
        </w:rPr>
        <w:t>– the principles and processes for decisions that have not been delegated;</w:t>
      </w:r>
    </w:p>
    <w:p w14:paraId="463CAFE5" w14:textId="0B52EDA3" w:rsidR="00AB351E" w:rsidRPr="006850AB" w:rsidRDefault="006D44DD" w:rsidP="000A2B11">
      <w:pPr>
        <w:pStyle w:val="ListParagraph"/>
        <w:numPr>
          <w:ilvl w:val="2"/>
          <w:numId w:val="4"/>
        </w:numPr>
        <w:spacing w:after="0"/>
        <w:ind w:left="1775" w:hanging="357"/>
        <w:contextualSpacing w:val="0"/>
        <w:jc w:val="both"/>
        <w:rPr>
          <w:rFonts w:ascii="Arial" w:hAnsi="Arial" w:cs="Arial"/>
        </w:rPr>
      </w:pPr>
      <w:hyperlink w:anchor="_Financial_Regulations" w:history="1">
        <w:r w:rsidR="00AB351E" w:rsidRPr="006850AB">
          <w:rPr>
            <w:rStyle w:val="Hyperlink"/>
            <w:rFonts w:ascii="Arial" w:hAnsi="Arial" w:cs="Arial"/>
            <w:i/>
            <w:color w:val="auto"/>
            <w:u w:val="none"/>
          </w:rPr>
          <w:t>Financial regulations</w:t>
        </w:r>
      </w:hyperlink>
      <w:r w:rsidR="00AB351E" w:rsidRPr="006850AB">
        <w:rPr>
          <w:rFonts w:ascii="Arial" w:hAnsi="Arial" w:cs="Arial"/>
        </w:rPr>
        <w:t xml:space="preserve"> – the overall regulatory framework for the financial management of the two organisations;</w:t>
      </w:r>
    </w:p>
    <w:p w14:paraId="008C4903" w14:textId="44149CD5" w:rsidR="00AB351E" w:rsidRPr="006850AB" w:rsidRDefault="006D44DD" w:rsidP="000A2B11">
      <w:pPr>
        <w:pStyle w:val="ListParagraph"/>
        <w:numPr>
          <w:ilvl w:val="2"/>
          <w:numId w:val="4"/>
        </w:numPr>
        <w:spacing w:after="120"/>
        <w:ind w:left="1775" w:hanging="357"/>
        <w:contextualSpacing w:val="0"/>
        <w:jc w:val="both"/>
        <w:rPr>
          <w:rFonts w:ascii="Arial" w:hAnsi="Arial" w:cs="Arial"/>
        </w:rPr>
      </w:pPr>
      <w:hyperlink w:anchor="_Contract_Standing_Orders" w:history="1">
        <w:r w:rsidR="00AB351E" w:rsidRPr="006850AB">
          <w:rPr>
            <w:rStyle w:val="Hyperlink"/>
            <w:rFonts w:ascii="Arial" w:hAnsi="Arial" w:cs="Arial"/>
            <w:i/>
            <w:color w:val="auto"/>
            <w:u w:val="none"/>
          </w:rPr>
          <w:t>Contract standing orders</w:t>
        </w:r>
      </w:hyperlink>
      <w:r w:rsidR="00AB351E" w:rsidRPr="006850AB">
        <w:rPr>
          <w:rStyle w:val="Hyperlink"/>
          <w:rFonts w:ascii="Arial" w:hAnsi="Arial" w:cs="Arial"/>
          <w:color w:val="auto"/>
          <w:u w:val="none"/>
        </w:rPr>
        <w:t xml:space="preserve"> – the procurement framework for the two organisations</w:t>
      </w:r>
      <w:r w:rsidR="00AB351E" w:rsidRPr="006850AB">
        <w:rPr>
          <w:rFonts w:ascii="Arial" w:hAnsi="Arial" w:cs="Arial"/>
        </w:rPr>
        <w:t>.</w:t>
      </w:r>
    </w:p>
    <w:p w14:paraId="0702F2A7" w14:textId="2DA22944" w:rsidR="00672D92" w:rsidRPr="00672D92" w:rsidRDefault="000A2B11" w:rsidP="000A2B11">
      <w:pPr>
        <w:spacing w:before="240" w:after="120"/>
        <w:ind w:left="709" w:hanging="709"/>
        <w:jc w:val="both"/>
        <w:rPr>
          <w:rFonts w:ascii="Arial" w:hAnsi="Arial" w:cs="Arial"/>
          <w:b/>
        </w:rPr>
      </w:pPr>
      <w:r w:rsidRPr="00672D92">
        <w:rPr>
          <w:rFonts w:ascii="Arial" w:hAnsi="Arial" w:cs="Arial"/>
          <w:b/>
        </w:rPr>
        <w:t>4</w:t>
      </w:r>
      <w:r w:rsidRPr="00672D92">
        <w:rPr>
          <w:rFonts w:ascii="Arial" w:hAnsi="Arial" w:cs="Arial"/>
          <w:b/>
        </w:rPr>
        <w:tab/>
        <w:t>WHO SHOULD BE USING THE CGF?</w:t>
      </w:r>
    </w:p>
    <w:p w14:paraId="2C4B183F" w14:textId="77777777" w:rsidR="00932BB5" w:rsidRDefault="003E3121" w:rsidP="000A2B11">
      <w:pPr>
        <w:spacing w:after="120"/>
        <w:ind w:left="709" w:hanging="709"/>
        <w:jc w:val="both"/>
        <w:rPr>
          <w:rFonts w:ascii="Arial" w:hAnsi="Arial" w:cs="Arial"/>
        </w:rPr>
      </w:pPr>
      <w:r>
        <w:rPr>
          <w:rFonts w:ascii="Arial" w:hAnsi="Arial" w:cs="Arial"/>
        </w:rPr>
        <w:tab/>
        <w:t xml:space="preserve">All of us! </w:t>
      </w:r>
      <w:r w:rsidR="00932BB5">
        <w:rPr>
          <w:rFonts w:ascii="Arial" w:hAnsi="Arial" w:cs="Arial"/>
        </w:rPr>
        <w:t xml:space="preserve">Officers and Staff must operate within the parameters of the Corporate Governance Framework as well as within Force policies and procedures. </w:t>
      </w:r>
    </w:p>
    <w:p w14:paraId="6EF83607" w14:textId="1B97DEF5" w:rsidR="005556C3" w:rsidRPr="000A2B11" w:rsidRDefault="00672D92" w:rsidP="000A2B11">
      <w:pPr>
        <w:spacing w:after="120"/>
        <w:ind w:left="709"/>
        <w:jc w:val="both"/>
        <w:rPr>
          <w:rFonts w:ascii="Arial" w:hAnsi="Arial" w:cs="Arial"/>
        </w:rPr>
      </w:pPr>
      <w:r>
        <w:rPr>
          <w:rFonts w:ascii="Arial" w:hAnsi="Arial" w:cs="Arial"/>
        </w:rPr>
        <w:t>The Scheme of Corporate Governance</w:t>
      </w:r>
      <w:r w:rsidR="00AB351E">
        <w:rPr>
          <w:rFonts w:ascii="Arial" w:hAnsi="Arial" w:cs="Arial"/>
        </w:rPr>
        <w:t>, in particular,</w:t>
      </w:r>
      <w:r>
        <w:rPr>
          <w:rFonts w:ascii="Arial" w:hAnsi="Arial" w:cs="Arial"/>
        </w:rPr>
        <w:t xml:space="preserve"> should be used as a guide for officers and staff in conducting their day to day business.</w:t>
      </w:r>
    </w:p>
    <w:p w14:paraId="6E518C98" w14:textId="7EA2EA4E" w:rsidR="00817706" w:rsidRPr="00817706" w:rsidRDefault="000A2B11" w:rsidP="000A2B11">
      <w:pPr>
        <w:spacing w:after="120"/>
        <w:jc w:val="both"/>
        <w:rPr>
          <w:rFonts w:ascii="Arial" w:hAnsi="Arial" w:cs="Arial"/>
          <w:b/>
        </w:rPr>
      </w:pPr>
      <w:r w:rsidRPr="00817706">
        <w:rPr>
          <w:rFonts w:ascii="Arial" w:hAnsi="Arial" w:cs="Arial"/>
          <w:b/>
        </w:rPr>
        <w:t>5</w:t>
      </w:r>
      <w:r w:rsidRPr="00817706">
        <w:rPr>
          <w:rFonts w:ascii="Arial" w:hAnsi="Arial" w:cs="Arial"/>
          <w:b/>
        </w:rPr>
        <w:tab/>
        <w:t>WHY MIGHT I NEED TO USE THE CGF?</w:t>
      </w:r>
    </w:p>
    <w:p w14:paraId="1E0C9307" w14:textId="1941D803" w:rsidR="00AB351E" w:rsidRDefault="00981955" w:rsidP="000A2B11">
      <w:pPr>
        <w:pStyle w:val="Default"/>
        <w:spacing w:after="120" w:line="276" w:lineRule="auto"/>
        <w:ind w:left="709"/>
        <w:jc w:val="both"/>
        <w:rPr>
          <w:rFonts w:ascii="Arial" w:hAnsi="Arial" w:cs="Arial"/>
          <w:color w:val="auto"/>
          <w:sz w:val="22"/>
          <w:szCs w:val="22"/>
        </w:rPr>
      </w:pPr>
      <w:r>
        <w:rPr>
          <w:rFonts w:ascii="Arial" w:hAnsi="Arial" w:cs="Arial"/>
          <w:color w:val="auto"/>
          <w:sz w:val="22"/>
          <w:szCs w:val="22"/>
        </w:rPr>
        <w:t>Some examples of when y</w:t>
      </w:r>
      <w:r w:rsidR="00AB351E" w:rsidRPr="00AB351E">
        <w:rPr>
          <w:rFonts w:ascii="Arial" w:hAnsi="Arial" w:cs="Arial"/>
          <w:color w:val="auto"/>
          <w:sz w:val="22"/>
          <w:szCs w:val="22"/>
        </w:rPr>
        <w:t>ou</w:t>
      </w:r>
      <w:r w:rsidR="00AB351E">
        <w:rPr>
          <w:rFonts w:ascii="Arial" w:hAnsi="Arial" w:cs="Arial"/>
          <w:color w:val="auto"/>
          <w:sz w:val="22"/>
          <w:szCs w:val="22"/>
        </w:rPr>
        <w:t xml:space="preserve"> </w:t>
      </w:r>
      <w:r w:rsidR="00D75EF6">
        <w:rPr>
          <w:rFonts w:ascii="Arial" w:hAnsi="Arial" w:cs="Arial"/>
          <w:color w:val="auto"/>
          <w:sz w:val="22"/>
          <w:szCs w:val="22"/>
        </w:rPr>
        <w:t>may</w:t>
      </w:r>
      <w:r w:rsidR="00AB351E">
        <w:rPr>
          <w:rFonts w:ascii="Arial" w:hAnsi="Arial" w:cs="Arial"/>
          <w:color w:val="auto"/>
          <w:sz w:val="22"/>
          <w:szCs w:val="22"/>
        </w:rPr>
        <w:t xml:space="preserve"> need to refer to the CG</w:t>
      </w:r>
      <w:r w:rsidR="00D75EF6">
        <w:rPr>
          <w:rFonts w:ascii="Arial" w:hAnsi="Arial" w:cs="Arial"/>
          <w:color w:val="auto"/>
          <w:sz w:val="22"/>
          <w:szCs w:val="22"/>
        </w:rPr>
        <w:t>F</w:t>
      </w:r>
      <w:r w:rsidR="008C39A6">
        <w:rPr>
          <w:rFonts w:ascii="Arial" w:hAnsi="Arial" w:cs="Arial"/>
          <w:color w:val="auto"/>
          <w:sz w:val="22"/>
          <w:szCs w:val="22"/>
        </w:rPr>
        <w:t>:</w:t>
      </w:r>
    </w:p>
    <w:p w14:paraId="25E4CC19" w14:textId="147B4835" w:rsidR="00AB351E" w:rsidRDefault="00D75EF6" w:rsidP="000A2B11">
      <w:pPr>
        <w:pStyle w:val="Default"/>
        <w:numPr>
          <w:ilvl w:val="0"/>
          <w:numId w:val="5"/>
        </w:numPr>
        <w:spacing w:line="276" w:lineRule="auto"/>
        <w:jc w:val="both"/>
        <w:rPr>
          <w:rFonts w:ascii="Arial" w:hAnsi="Arial" w:cs="Arial"/>
          <w:color w:val="auto"/>
          <w:sz w:val="22"/>
          <w:szCs w:val="22"/>
        </w:rPr>
      </w:pPr>
      <w:r>
        <w:rPr>
          <w:rFonts w:ascii="Arial" w:hAnsi="Arial" w:cs="Arial"/>
          <w:color w:val="auto"/>
          <w:sz w:val="22"/>
          <w:szCs w:val="22"/>
        </w:rPr>
        <w:t>When procuring supplies or services</w:t>
      </w:r>
      <w:r w:rsidR="00623903">
        <w:rPr>
          <w:rFonts w:ascii="Arial" w:hAnsi="Arial" w:cs="Arial"/>
          <w:color w:val="auto"/>
          <w:sz w:val="22"/>
          <w:szCs w:val="22"/>
        </w:rPr>
        <w:t>;</w:t>
      </w:r>
    </w:p>
    <w:p w14:paraId="57E904DD" w14:textId="778CF70E" w:rsidR="00451B34" w:rsidRPr="00D75EF6" w:rsidRDefault="00451B34" w:rsidP="000A2B11">
      <w:pPr>
        <w:pStyle w:val="ListParagraph"/>
        <w:numPr>
          <w:ilvl w:val="0"/>
          <w:numId w:val="5"/>
        </w:numPr>
        <w:spacing w:after="0"/>
        <w:contextualSpacing w:val="0"/>
        <w:jc w:val="both"/>
        <w:rPr>
          <w:rFonts w:ascii="Arial" w:hAnsi="Arial" w:cs="Arial"/>
        </w:rPr>
      </w:pPr>
      <w:r>
        <w:rPr>
          <w:rFonts w:ascii="Arial" w:hAnsi="Arial" w:cs="Arial"/>
        </w:rPr>
        <w:t xml:space="preserve">When tendering for supplies or services; </w:t>
      </w:r>
    </w:p>
    <w:p w14:paraId="7E5981BE" w14:textId="6AEE2D44" w:rsidR="00623903" w:rsidRPr="00451B34" w:rsidRDefault="00D75EF6" w:rsidP="000A2B11">
      <w:pPr>
        <w:pStyle w:val="ListParagraph"/>
        <w:numPr>
          <w:ilvl w:val="0"/>
          <w:numId w:val="5"/>
        </w:numPr>
        <w:spacing w:after="0"/>
        <w:contextualSpacing w:val="0"/>
        <w:jc w:val="both"/>
        <w:rPr>
          <w:rFonts w:ascii="Arial" w:hAnsi="Arial" w:cs="Arial"/>
        </w:rPr>
      </w:pPr>
      <w:r w:rsidRPr="00451B34">
        <w:rPr>
          <w:rFonts w:ascii="Arial" w:hAnsi="Arial" w:cs="Arial"/>
        </w:rPr>
        <w:t>When processing any payments relating to bonuses, performance-related payment schemes</w:t>
      </w:r>
      <w:r w:rsidR="00451B34">
        <w:rPr>
          <w:rFonts w:ascii="Arial" w:hAnsi="Arial" w:cs="Arial"/>
        </w:rPr>
        <w:t>,</w:t>
      </w:r>
      <w:r w:rsidRPr="00451B34">
        <w:rPr>
          <w:rFonts w:ascii="Arial" w:hAnsi="Arial" w:cs="Arial"/>
        </w:rPr>
        <w:t xml:space="preserve"> honoraria payments</w:t>
      </w:r>
      <w:r w:rsidR="00451B34">
        <w:rPr>
          <w:rFonts w:ascii="Arial" w:hAnsi="Arial" w:cs="Arial"/>
        </w:rPr>
        <w:t xml:space="preserve">, </w:t>
      </w:r>
      <w:r w:rsidRPr="00451B34">
        <w:rPr>
          <w:rFonts w:ascii="Arial" w:hAnsi="Arial" w:cs="Arial"/>
        </w:rPr>
        <w:t xml:space="preserve">relocation packages, benefit </w:t>
      </w:r>
      <w:r w:rsidRPr="00451B34">
        <w:rPr>
          <w:rFonts w:ascii="Arial" w:hAnsi="Arial" w:cs="Arial"/>
        </w:rPr>
        <w:lastRenderedPageBreak/>
        <w:t xml:space="preserve">schemes </w:t>
      </w:r>
      <w:r w:rsidR="00451B34">
        <w:rPr>
          <w:rFonts w:ascii="Arial" w:hAnsi="Arial" w:cs="Arial"/>
        </w:rPr>
        <w:t>or</w:t>
      </w:r>
      <w:r w:rsidRPr="00451B34">
        <w:rPr>
          <w:rFonts w:ascii="Arial" w:hAnsi="Arial" w:cs="Arial"/>
        </w:rPr>
        <w:t xml:space="preserve"> changes to terms and conditions of service of officers and staff;</w:t>
      </w:r>
    </w:p>
    <w:p w14:paraId="0727CDE5" w14:textId="6E886BCF" w:rsidR="00D75EF6" w:rsidRPr="00451B34" w:rsidRDefault="00D75EF6" w:rsidP="000A2B11">
      <w:pPr>
        <w:pStyle w:val="ListParagraph"/>
        <w:numPr>
          <w:ilvl w:val="0"/>
          <w:numId w:val="5"/>
        </w:numPr>
        <w:spacing w:after="0"/>
        <w:contextualSpacing w:val="0"/>
        <w:jc w:val="both"/>
        <w:rPr>
          <w:rFonts w:ascii="Arial" w:hAnsi="Arial" w:cs="Arial"/>
        </w:rPr>
      </w:pPr>
      <w:r w:rsidRPr="00451B34">
        <w:rPr>
          <w:rFonts w:ascii="Arial" w:hAnsi="Arial" w:cs="Arial"/>
        </w:rPr>
        <w:t>When business support to the Force is being provided by the OPCC (or vice versa);</w:t>
      </w:r>
    </w:p>
    <w:p w14:paraId="3325A81F" w14:textId="3DFCF43F" w:rsidR="00D75EF6" w:rsidRDefault="00D75EF6" w:rsidP="000A2B11">
      <w:pPr>
        <w:pStyle w:val="ListParagraph"/>
        <w:numPr>
          <w:ilvl w:val="0"/>
          <w:numId w:val="5"/>
        </w:numPr>
        <w:spacing w:after="0"/>
        <w:contextualSpacing w:val="0"/>
        <w:jc w:val="both"/>
        <w:rPr>
          <w:rFonts w:ascii="Arial" w:hAnsi="Arial" w:cs="Arial"/>
        </w:rPr>
      </w:pPr>
      <w:r>
        <w:rPr>
          <w:rFonts w:ascii="Arial" w:hAnsi="Arial" w:cs="Arial"/>
        </w:rPr>
        <w:t>When dealing with an information request</w:t>
      </w:r>
      <w:r w:rsidR="00451B34">
        <w:rPr>
          <w:rFonts w:ascii="Arial" w:hAnsi="Arial" w:cs="Arial"/>
        </w:rPr>
        <w:t>, including external requests made through the Freedom of Information Act;</w:t>
      </w:r>
    </w:p>
    <w:p w14:paraId="4E4B68B6" w14:textId="67B72D2D" w:rsidR="00451B34" w:rsidRDefault="00C636B3" w:rsidP="000A2B11">
      <w:pPr>
        <w:pStyle w:val="ListParagraph"/>
        <w:numPr>
          <w:ilvl w:val="0"/>
          <w:numId w:val="5"/>
        </w:numPr>
        <w:spacing w:after="0"/>
        <w:contextualSpacing w:val="0"/>
        <w:jc w:val="both"/>
        <w:rPr>
          <w:rFonts w:ascii="Arial" w:hAnsi="Arial" w:cs="Arial"/>
        </w:rPr>
      </w:pPr>
      <w:r>
        <w:rPr>
          <w:rFonts w:ascii="Arial" w:hAnsi="Arial" w:cs="Arial"/>
        </w:rPr>
        <w:t xml:space="preserve">When a decision on a </w:t>
      </w:r>
      <w:r w:rsidR="00B1374C">
        <w:rPr>
          <w:rFonts w:ascii="Arial" w:hAnsi="Arial" w:cs="Arial"/>
        </w:rPr>
        <w:t xml:space="preserve">non-operational </w:t>
      </w:r>
      <w:r>
        <w:rPr>
          <w:rFonts w:ascii="Arial" w:hAnsi="Arial" w:cs="Arial"/>
        </w:rPr>
        <w:t xml:space="preserve">course of </w:t>
      </w:r>
      <w:r w:rsidR="00451B34">
        <w:rPr>
          <w:rFonts w:ascii="Arial" w:hAnsi="Arial" w:cs="Arial"/>
        </w:rPr>
        <w:t>action is required;</w:t>
      </w:r>
    </w:p>
    <w:p w14:paraId="52E90255" w14:textId="02E07F27" w:rsidR="00451B34" w:rsidRDefault="00981955" w:rsidP="000A2B11">
      <w:pPr>
        <w:pStyle w:val="ListParagraph"/>
        <w:numPr>
          <w:ilvl w:val="0"/>
          <w:numId w:val="5"/>
        </w:numPr>
        <w:spacing w:after="0"/>
        <w:contextualSpacing w:val="0"/>
        <w:jc w:val="both"/>
        <w:rPr>
          <w:rFonts w:ascii="Arial" w:hAnsi="Arial" w:cs="Arial"/>
        </w:rPr>
      </w:pPr>
      <w:r>
        <w:rPr>
          <w:rFonts w:ascii="Arial" w:hAnsi="Arial" w:cs="Arial"/>
        </w:rPr>
        <w:t>If you are responsible for managing a budget;</w:t>
      </w:r>
    </w:p>
    <w:p w14:paraId="34A396E4" w14:textId="213D3658" w:rsidR="00981955" w:rsidRDefault="00981955" w:rsidP="000A2B11">
      <w:pPr>
        <w:pStyle w:val="ListParagraph"/>
        <w:numPr>
          <w:ilvl w:val="0"/>
          <w:numId w:val="5"/>
        </w:numPr>
        <w:spacing w:after="0"/>
        <w:contextualSpacing w:val="0"/>
        <w:jc w:val="both"/>
        <w:rPr>
          <w:rFonts w:ascii="Arial" w:hAnsi="Arial" w:cs="Arial"/>
        </w:rPr>
      </w:pPr>
      <w:r>
        <w:rPr>
          <w:rFonts w:ascii="Arial" w:hAnsi="Arial" w:cs="Arial"/>
        </w:rPr>
        <w:t>If the Force/OPCC is offered gifts, loans or sponsorship; and</w:t>
      </w:r>
    </w:p>
    <w:p w14:paraId="696BEDB2" w14:textId="3BFAD7FF" w:rsidR="00981955" w:rsidRDefault="00981955" w:rsidP="000A2B11">
      <w:pPr>
        <w:pStyle w:val="ListParagraph"/>
        <w:numPr>
          <w:ilvl w:val="0"/>
          <w:numId w:val="5"/>
        </w:numPr>
        <w:spacing w:after="120"/>
        <w:contextualSpacing w:val="0"/>
        <w:jc w:val="both"/>
        <w:rPr>
          <w:rFonts w:ascii="Arial" w:hAnsi="Arial" w:cs="Arial"/>
        </w:rPr>
      </w:pPr>
      <w:r>
        <w:rPr>
          <w:rFonts w:ascii="Arial" w:hAnsi="Arial" w:cs="Arial"/>
        </w:rPr>
        <w:t>When considering joint working arrangements with partners.</w:t>
      </w:r>
    </w:p>
    <w:p w14:paraId="1DDB9A7A" w14:textId="4D43BDA2" w:rsidR="00026059" w:rsidRDefault="00026059" w:rsidP="000A2B11">
      <w:pPr>
        <w:pStyle w:val="Default"/>
        <w:spacing w:after="120" w:line="276" w:lineRule="auto"/>
        <w:ind w:left="720"/>
        <w:jc w:val="both"/>
        <w:rPr>
          <w:rFonts w:ascii="Arial" w:hAnsi="Arial" w:cs="Arial"/>
          <w:sz w:val="22"/>
          <w:szCs w:val="22"/>
          <w:lang w:val="en"/>
        </w:rPr>
      </w:pPr>
      <w:r w:rsidRPr="00026059">
        <w:rPr>
          <w:rFonts w:ascii="Arial" w:hAnsi="Arial" w:cs="Arial"/>
          <w:sz w:val="22"/>
          <w:szCs w:val="22"/>
        </w:rPr>
        <w:t>As well as the CGF, you may also need to refer to Force and/or OPCC polic</w:t>
      </w:r>
      <w:r w:rsidR="00AD59A1">
        <w:rPr>
          <w:rFonts w:ascii="Arial" w:hAnsi="Arial" w:cs="Arial"/>
          <w:sz w:val="22"/>
          <w:szCs w:val="22"/>
        </w:rPr>
        <w:t>ies</w:t>
      </w:r>
      <w:r w:rsidRPr="00026059">
        <w:rPr>
          <w:rFonts w:ascii="Arial" w:hAnsi="Arial" w:cs="Arial"/>
          <w:sz w:val="22"/>
          <w:szCs w:val="22"/>
        </w:rPr>
        <w:t xml:space="preserve">, procedures and </w:t>
      </w:r>
      <w:r w:rsidR="003E3121" w:rsidRPr="00026059">
        <w:rPr>
          <w:rFonts w:ascii="Arial" w:hAnsi="Arial" w:cs="Arial"/>
          <w:sz w:val="22"/>
          <w:szCs w:val="22"/>
        </w:rPr>
        <w:t xml:space="preserve">protocols </w:t>
      </w:r>
      <w:r w:rsidRPr="00026059">
        <w:rPr>
          <w:rFonts w:ascii="Arial" w:hAnsi="Arial" w:cs="Arial"/>
          <w:sz w:val="22"/>
          <w:szCs w:val="22"/>
        </w:rPr>
        <w:t xml:space="preserve">which will </w:t>
      </w:r>
      <w:r w:rsidR="00AD59A1">
        <w:rPr>
          <w:rFonts w:ascii="Arial" w:hAnsi="Arial" w:cs="Arial"/>
          <w:sz w:val="22"/>
          <w:szCs w:val="22"/>
        </w:rPr>
        <w:t>p</w:t>
      </w:r>
      <w:r w:rsidR="003E3121" w:rsidRPr="00026059">
        <w:rPr>
          <w:rFonts w:ascii="Arial" w:hAnsi="Arial" w:cs="Arial"/>
          <w:sz w:val="22"/>
          <w:szCs w:val="22"/>
        </w:rPr>
        <w:t xml:space="preserve">rovide </w:t>
      </w:r>
      <w:r w:rsidRPr="00026059">
        <w:rPr>
          <w:rFonts w:ascii="Arial" w:hAnsi="Arial" w:cs="Arial"/>
          <w:sz w:val="22"/>
          <w:szCs w:val="22"/>
          <w:lang w:val="en"/>
        </w:rPr>
        <w:t xml:space="preserve">guidelines for best practice in certain work situations. </w:t>
      </w:r>
    </w:p>
    <w:p w14:paraId="421ABBC6" w14:textId="1DE38EB8" w:rsidR="005C7AAC" w:rsidRDefault="000A2B11" w:rsidP="000A2B11">
      <w:pPr>
        <w:pStyle w:val="Default"/>
        <w:spacing w:before="240" w:after="120" w:line="276" w:lineRule="auto"/>
        <w:ind w:left="720" w:hanging="720"/>
        <w:jc w:val="both"/>
        <w:rPr>
          <w:rFonts w:ascii="Arial" w:hAnsi="Arial" w:cs="Arial"/>
          <w:b/>
          <w:sz w:val="22"/>
          <w:szCs w:val="22"/>
        </w:rPr>
      </w:pPr>
      <w:r w:rsidRPr="005C7AAC">
        <w:rPr>
          <w:rFonts w:ascii="Arial" w:hAnsi="Arial" w:cs="Arial"/>
          <w:b/>
          <w:sz w:val="22"/>
          <w:szCs w:val="22"/>
        </w:rPr>
        <w:t>6</w:t>
      </w:r>
      <w:r w:rsidRPr="005C7AAC">
        <w:rPr>
          <w:rFonts w:ascii="Arial" w:hAnsi="Arial" w:cs="Arial"/>
          <w:b/>
          <w:sz w:val="22"/>
          <w:szCs w:val="22"/>
        </w:rPr>
        <w:tab/>
      </w:r>
      <w:r>
        <w:rPr>
          <w:rFonts w:ascii="Arial" w:hAnsi="Arial" w:cs="Arial"/>
          <w:b/>
          <w:sz w:val="22"/>
          <w:szCs w:val="22"/>
        </w:rPr>
        <w:t>OK, SO WHERE DO I FIND…</w:t>
      </w:r>
      <w:r w:rsidRPr="005C7AAC">
        <w:rPr>
          <w:rFonts w:ascii="Arial" w:hAnsi="Arial" w:cs="Arial"/>
          <w:b/>
          <w:sz w:val="22"/>
          <w:szCs w:val="22"/>
        </w:rPr>
        <w:t>?</w:t>
      </w:r>
    </w:p>
    <w:p w14:paraId="2D9F85DB" w14:textId="3BEE3A80" w:rsidR="006D0E50" w:rsidRPr="003A5037" w:rsidRDefault="006D0E50" w:rsidP="000A2B11">
      <w:pPr>
        <w:pStyle w:val="Default"/>
        <w:spacing w:after="120" w:line="276" w:lineRule="auto"/>
        <w:ind w:left="720" w:hanging="720"/>
        <w:jc w:val="both"/>
        <w:rPr>
          <w:rFonts w:ascii="Arial" w:hAnsi="Arial" w:cs="Arial"/>
          <w:b/>
          <w:i/>
          <w:sz w:val="22"/>
          <w:szCs w:val="22"/>
        </w:rPr>
      </w:pPr>
      <w:r>
        <w:rPr>
          <w:rFonts w:ascii="Arial" w:hAnsi="Arial" w:cs="Arial"/>
          <w:sz w:val="22"/>
          <w:szCs w:val="22"/>
        </w:rPr>
        <w:tab/>
      </w:r>
      <w:r w:rsidRPr="003A5037">
        <w:rPr>
          <w:rFonts w:ascii="Arial" w:hAnsi="Arial" w:cs="Arial"/>
          <w:b/>
          <w:i/>
          <w:color w:val="00B0F0"/>
          <w:sz w:val="22"/>
          <w:szCs w:val="22"/>
        </w:rPr>
        <w:t>Detail about the OPCC and Force working together?</w:t>
      </w:r>
      <w:r w:rsidR="008C39A6" w:rsidRPr="003A5037">
        <w:rPr>
          <w:rFonts w:ascii="Arial" w:hAnsi="Arial" w:cs="Arial"/>
          <w:b/>
          <w:i/>
          <w:sz w:val="22"/>
          <w:szCs w:val="22"/>
        </w:rPr>
        <w:tab/>
      </w:r>
    </w:p>
    <w:p w14:paraId="12609F6E" w14:textId="6E9A4E77" w:rsidR="006D0E50" w:rsidRDefault="006D0E50" w:rsidP="000A2B11">
      <w:pPr>
        <w:pStyle w:val="Default"/>
        <w:spacing w:after="120" w:line="276" w:lineRule="auto"/>
        <w:ind w:left="720" w:hanging="720"/>
        <w:jc w:val="both"/>
        <w:rPr>
          <w:rFonts w:ascii="Arial" w:hAnsi="Arial" w:cs="Arial"/>
          <w:sz w:val="22"/>
          <w:szCs w:val="22"/>
        </w:rPr>
      </w:pPr>
      <w:r>
        <w:rPr>
          <w:rFonts w:ascii="Arial" w:hAnsi="Arial" w:cs="Arial"/>
          <w:sz w:val="22"/>
          <w:szCs w:val="22"/>
        </w:rPr>
        <w:tab/>
        <w:t>Section 3 (Scheme of Corporate Governance) explains how the PCC and CC will work together, and when they must work independently.</w:t>
      </w:r>
    </w:p>
    <w:p w14:paraId="3EB800E1" w14:textId="5BDEEE16" w:rsidR="008C39A6" w:rsidRPr="003A5037" w:rsidRDefault="008C39A6" w:rsidP="000A2B11">
      <w:pPr>
        <w:pStyle w:val="Default"/>
        <w:spacing w:after="120" w:line="276" w:lineRule="auto"/>
        <w:ind w:left="720"/>
        <w:jc w:val="both"/>
        <w:rPr>
          <w:rFonts w:ascii="Arial" w:hAnsi="Arial" w:cs="Arial"/>
          <w:b/>
          <w:i/>
          <w:color w:val="00B0F0"/>
          <w:sz w:val="22"/>
          <w:szCs w:val="22"/>
        </w:rPr>
      </w:pPr>
      <w:r w:rsidRPr="003A5037">
        <w:rPr>
          <w:rFonts w:ascii="Arial" w:hAnsi="Arial" w:cs="Arial"/>
          <w:b/>
          <w:i/>
          <w:color w:val="00B0F0"/>
          <w:sz w:val="22"/>
          <w:szCs w:val="22"/>
        </w:rPr>
        <w:t>Information on spending limits?</w:t>
      </w:r>
    </w:p>
    <w:p w14:paraId="11A7FC62" w14:textId="273C83C6" w:rsidR="008C39A6" w:rsidRDefault="008C39A6" w:rsidP="000A2B11">
      <w:pPr>
        <w:pStyle w:val="Default"/>
        <w:spacing w:after="120" w:line="276" w:lineRule="auto"/>
        <w:ind w:left="720"/>
        <w:jc w:val="both"/>
        <w:rPr>
          <w:rFonts w:ascii="Arial" w:hAnsi="Arial" w:cs="Arial"/>
          <w:sz w:val="22"/>
          <w:szCs w:val="22"/>
        </w:rPr>
      </w:pPr>
      <w:r>
        <w:rPr>
          <w:rFonts w:ascii="Arial" w:hAnsi="Arial" w:cs="Arial"/>
          <w:sz w:val="22"/>
          <w:szCs w:val="22"/>
        </w:rPr>
        <w:t>Section 4 (Scheme of Delegation) sets out wh</w:t>
      </w:r>
      <w:r w:rsidR="003A5037">
        <w:rPr>
          <w:rFonts w:ascii="Arial" w:hAnsi="Arial" w:cs="Arial"/>
          <w:sz w:val="22"/>
          <w:szCs w:val="22"/>
        </w:rPr>
        <w:t>o is authorised to do what and when</w:t>
      </w:r>
      <w:r>
        <w:rPr>
          <w:rFonts w:ascii="Arial" w:hAnsi="Arial" w:cs="Arial"/>
          <w:sz w:val="22"/>
          <w:szCs w:val="22"/>
        </w:rPr>
        <w:t>. Probably the most frequently used section will be 4.3.7 – approval limits</w:t>
      </w:r>
      <w:r w:rsidR="003A5037">
        <w:rPr>
          <w:rFonts w:ascii="Arial" w:hAnsi="Arial" w:cs="Arial"/>
          <w:sz w:val="22"/>
          <w:szCs w:val="22"/>
        </w:rPr>
        <w:t xml:space="preserve"> in relation to contracts, orders, invoices and non-pay budget movements</w:t>
      </w:r>
      <w:r>
        <w:rPr>
          <w:rFonts w:ascii="Arial" w:hAnsi="Arial" w:cs="Arial"/>
          <w:sz w:val="22"/>
          <w:szCs w:val="22"/>
        </w:rPr>
        <w:t xml:space="preserve">. This tells you what </w:t>
      </w:r>
      <w:r w:rsidR="006D0E50">
        <w:rPr>
          <w:rFonts w:ascii="Arial" w:hAnsi="Arial" w:cs="Arial"/>
          <w:sz w:val="22"/>
          <w:szCs w:val="22"/>
        </w:rPr>
        <w:t>the</w:t>
      </w:r>
      <w:r>
        <w:rPr>
          <w:rFonts w:ascii="Arial" w:hAnsi="Arial" w:cs="Arial"/>
          <w:sz w:val="22"/>
          <w:szCs w:val="22"/>
        </w:rPr>
        <w:t xml:space="preserve"> spending limits are, the process involved and authorisation required.</w:t>
      </w:r>
    </w:p>
    <w:p w14:paraId="11A5B818" w14:textId="276BBCBC" w:rsidR="003A5037" w:rsidRDefault="003A5037" w:rsidP="000A2B11">
      <w:pPr>
        <w:pStyle w:val="Default"/>
        <w:spacing w:after="120" w:line="276" w:lineRule="auto"/>
        <w:ind w:left="720"/>
        <w:jc w:val="both"/>
        <w:rPr>
          <w:rFonts w:ascii="Arial" w:hAnsi="Arial" w:cs="Arial"/>
          <w:sz w:val="22"/>
          <w:szCs w:val="22"/>
        </w:rPr>
      </w:pPr>
      <w:r>
        <w:rPr>
          <w:rFonts w:ascii="Arial" w:hAnsi="Arial" w:cs="Arial"/>
          <w:sz w:val="22"/>
          <w:szCs w:val="22"/>
        </w:rPr>
        <w:t xml:space="preserve">Section 12 (Delegated Limits) explains delegated budgetary limits with regards to financial regulations. </w:t>
      </w:r>
    </w:p>
    <w:p w14:paraId="5505F52D" w14:textId="47106F04" w:rsidR="006D0E50" w:rsidRPr="003A5037" w:rsidRDefault="003A5037" w:rsidP="000A2B11">
      <w:pPr>
        <w:pStyle w:val="Default"/>
        <w:spacing w:after="120" w:line="276" w:lineRule="auto"/>
        <w:ind w:left="720"/>
        <w:jc w:val="both"/>
        <w:rPr>
          <w:rFonts w:ascii="Arial" w:hAnsi="Arial" w:cs="Arial"/>
          <w:b/>
          <w:i/>
          <w:color w:val="00B0F0"/>
          <w:sz w:val="22"/>
          <w:szCs w:val="22"/>
        </w:rPr>
      </w:pPr>
      <w:r w:rsidRPr="003A5037">
        <w:rPr>
          <w:rFonts w:ascii="Arial" w:hAnsi="Arial" w:cs="Arial"/>
          <w:b/>
          <w:i/>
          <w:color w:val="00B0F0"/>
          <w:sz w:val="22"/>
          <w:szCs w:val="22"/>
        </w:rPr>
        <w:lastRenderedPageBreak/>
        <w:t>Information about how many quotes are needed or if I need to go through a procurement exercise?</w:t>
      </w:r>
    </w:p>
    <w:p w14:paraId="669A4330" w14:textId="0C71C356" w:rsidR="003A5037" w:rsidRDefault="003A5037" w:rsidP="000A2B11">
      <w:pPr>
        <w:pStyle w:val="Default"/>
        <w:spacing w:after="120" w:line="276" w:lineRule="auto"/>
        <w:ind w:left="720"/>
        <w:jc w:val="both"/>
        <w:rPr>
          <w:rFonts w:ascii="Arial" w:hAnsi="Arial" w:cs="Arial"/>
          <w:sz w:val="22"/>
          <w:szCs w:val="22"/>
        </w:rPr>
      </w:pPr>
      <w:r w:rsidRPr="006850AB">
        <w:rPr>
          <w:rFonts w:ascii="Arial" w:hAnsi="Arial" w:cs="Arial"/>
          <w:sz w:val="22"/>
          <w:szCs w:val="22"/>
        </w:rPr>
        <w:t>Section 14.4 (Procurement Thresholds) defines when you need one quote, three quotes or a full tender exercise and how you do this.</w:t>
      </w:r>
    </w:p>
    <w:p w14:paraId="30C12703" w14:textId="4ECEA88D" w:rsidR="006D0E50" w:rsidRDefault="000A2B11" w:rsidP="000A2B11">
      <w:pPr>
        <w:pStyle w:val="Default"/>
        <w:spacing w:before="240" w:after="120" w:line="276" w:lineRule="auto"/>
        <w:jc w:val="both"/>
        <w:rPr>
          <w:rFonts w:ascii="Arial" w:hAnsi="Arial" w:cs="Arial"/>
          <w:b/>
          <w:sz w:val="22"/>
          <w:szCs w:val="22"/>
        </w:rPr>
      </w:pPr>
      <w:r>
        <w:rPr>
          <w:rFonts w:ascii="Arial" w:hAnsi="Arial" w:cs="Arial"/>
          <w:b/>
          <w:sz w:val="22"/>
          <w:szCs w:val="22"/>
        </w:rPr>
        <w:t>7</w:t>
      </w:r>
      <w:r>
        <w:rPr>
          <w:rFonts w:ascii="Arial" w:hAnsi="Arial" w:cs="Arial"/>
          <w:b/>
          <w:sz w:val="22"/>
          <w:szCs w:val="22"/>
        </w:rPr>
        <w:tab/>
        <w:t>DID YOU KNOW?</w:t>
      </w:r>
    </w:p>
    <w:p w14:paraId="3016AC08" w14:textId="77777777" w:rsidR="000A2B11" w:rsidRDefault="006D0E50" w:rsidP="000A2B11">
      <w:pPr>
        <w:spacing w:after="120"/>
        <w:ind w:left="709" w:hanging="709"/>
        <w:jc w:val="both"/>
        <w:rPr>
          <w:rFonts w:ascii="Arial" w:hAnsi="Arial" w:cs="Arial"/>
          <w:color w:val="FF0000"/>
        </w:rPr>
      </w:pPr>
      <w:r>
        <w:rPr>
          <w:rFonts w:ascii="Arial" w:hAnsi="Arial" w:cs="Arial"/>
        </w:rPr>
        <w:t>1.1.3</w:t>
      </w:r>
      <w:r>
        <w:rPr>
          <w:rFonts w:ascii="Arial" w:hAnsi="Arial" w:cs="Arial"/>
        </w:rPr>
        <w:tab/>
        <w:t xml:space="preserve">The </w:t>
      </w:r>
      <w:r w:rsidRPr="003A5037">
        <w:rPr>
          <w:rFonts w:ascii="Arial" w:hAnsi="Arial" w:cs="Arial"/>
        </w:rPr>
        <w:t>Police Reform and Social Responsibility Act 2011</w:t>
      </w:r>
      <w:r>
        <w:rPr>
          <w:rFonts w:ascii="Arial" w:hAnsi="Arial" w:cs="Arial"/>
        </w:rPr>
        <w:t xml:space="preserve"> (PRSRA)</w:t>
      </w:r>
      <w:r w:rsidDel="00684061">
        <w:rPr>
          <w:rFonts w:ascii="Arial" w:hAnsi="Arial" w:cs="Arial"/>
        </w:rPr>
        <w:t xml:space="preserve"> </w:t>
      </w:r>
      <w:r>
        <w:rPr>
          <w:rFonts w:ascii="Arial" w:hAnsi="Arial" w:cs="Arial"/>
        </w:rPr>
        <w:t xml:space="preserve">establishes both the PCC and CC as </w:t>
      </w:r>
      <w:proofErr w:type="gramStart"/>
      <w:r>
        <w:rPr>
          <w:rFonts w:ascii="Arial" w:hAnsi="Arial" w:cs="Arial"/>
        </w:rPr>
        <w:t>corporations</w:t>
      </w:r>
      <w:proofErr w:type="gramEnd"/>
      <w:r>
        <w:rPr>
          <w:rFonts w:ascii="Arial" w:hAnsi="Arial" w:cs="Arial"/>
        </w:rPr>
        <w:t xml:space="preserve"> sole in their own right with complementary but distinct decision-making responsibilities. The PCC is responsible for the totality of policing within the Dyfed-Powys area, including the appointment and dismissal of the CC, setting the strategic direction for policing and holding the CC to account for the delivery of policing services. The CC is responsible for the operational delivery of effective and efficient policing services.</w:t>
      </w:r>
      <w:r>
        <w:rPr>
          <w:rFonts w:ascii="Arial" w:hAnsi="Arial" w:cs="Arial"/>
          <w:color w:val="FF0000"/>
        </w:rPr>
        <w:t xml:space="preserve"> </w:t>
      </w:r>
    </w:p>
    <w:p w14:paraId="2A83BE03" w14:textId="70D27782" w:rsidR="00254819" w:rsidRDefault="00254819" w:rsidP="000A2B11">
      <w:pPr>
        <w:spacing w:after="120"/>
        <w:ind w:left="709" w:hanging="709"/>
        <w:jc w:val="both"/>
        <w:rPr>
          <w:rFonts w:ascii="Arial" w:hAnsi="Arial" w:cs="Arial"/>
        </w:rPr>
      </w:pPr>
      <w:r>
        <w:rPr>
          <w:rFonts w:ascii="Arial" w:hAnsi="Arial" w:cs="Arial"/>
        </w:rPr>
        <w:t>1.4.2</w:t>
      </w:r>
      <w:r>
        <w:rPr>
          <w:rFonts w:ascii="Arial" w:hAnsi="Arial" w:cs="Arial"/>
        </w:rPr>
        <w:tab/>
        <w:t>The Joint Audit Committee (JAC) is responsible for conducting, at least annually, an independent review of the effectiveness of governance arrangements, risk management and control frameworks, including financial reporting, annual governance processes and internal and external audit findings.</w:t>
      </w:r>
    </w:p>
    <w:p w14:paraId="01BFD9F3" w14:textId="4F0BE5BF" w:rsidR="006D0E50" w:rsidRDefault="00254819" w:rsidP="000A2B11">
      <w:pPr>
        <w:spacing w:after="120"/>
        <w:ind w:left="709" w:hanging="709"/>
        <w:jc w:val="both"/>
        <w:rPr>
          <w:rFonts w:ascii="Arial" w:hAnsi="Arial" w:cs="Arial"/>
        </w:rPr>
      </w:pPr>
      <w:r>
        <w:rPr>
          <w:rFonts w:ascii="Arial" w:hAnsi="Arial" w:cs="Arial"/>
        </w:rPr>
        <w:t>3.1.4</w:t>
      </w:r>
      <w:r w:rsidRPr="00DF6788">
        <w:rPr>
          <w:rFonts w:ascii="Arial" w:hAnsi="Arial" w:cs="Arial"/>
        </w:rPr>
        <w:tab/>
        <w:t>The PCC cannot delegate any of his functions to staff under the employment of the CC. However, officers and staff of the CC may be used to assist the PCC to exercise his functions.</w:t>
      </w:r>
    </w:p>
    <w:p w14:paraId="01F10848" w14:textId="77777777" w:rsidR="00254819" w:rsidRPr="00DF6788" w:rsidRDefault="00254819" w:rsidP="000A2B11">
      <w:pPr>
        <w:pStyle w:val="ListParagraph"/>
        <w:spacing w:after="120"/>
        <w:ind w:hanging="720"/>
        <w:contextualSpacing w:val="0"/>
        <w:jc w:val="both"/>
        <w:rPr>
          <w:rFonts w:ascii="Arial" w:hAnsi="Arial" w:cs="Arial"/>
        </w:rPr>
      </w:pPr>
      <w:r>
        <w:rPr>
          <w:rFonts w:ascii="Arial" w:hAnsi="Arial" w:cs="Arial"/>
        </w:rPr>
        <w:t>3.2.1</w:t>
      </w:r>
      <w:r w:rsidRPr="00DF6788">
        <w:rPr>
          <w:rFonts w:ascii="Arial" w:hAnsi="Arial" w:cs="Arial"/>
        </w:rPr>
        <w:tab/>
        <w:t xml:space="preserve">The PCC is responsible for holding the </w:t>
      </w:r>
      <w:r>
        <w:rPr>
          <w:rFonts w:ascii="Arial" w:hAnsi="Arial" w:cs="Arial"/>
        </w:rPr>
        <w:t>P</w:t>
      </w:r>
      <w:r w:rsidRPr="00DF6788">
        <w:rPr>
          <w:rFonts w:ascii="Arial" w:hAnsi="Arial" w:cs="Arial"/>
        </w:rPr>
        <w:t xml:space="preserve">olice </w:t>
      </w:r>
      <w:r>
        <w:rPr>
          <w:rFonts w:ascii="Arial" w:hAnsi="Arial" w:cs="Arial"/>
        </w:rPr>
        <w:t>F</w:t>
      </w:r>
      <w:r w:rsidRPr="00DF6788">
        <w:rPr>
          <w:rFonts w:ascii="Arial" w:hAnsi="Arial" w:cs="Arial"/>
        </w:rPr>
        <w:t>und and for receiving and managing grants, gifts and loans.</w:t>
      </w:r>
    </w:p>
    <w:p w14:paraId="37E25C05" w14:textId="61377FF4" w:rsidR="00254819" w:rsidRDefault="00254819" w:rsidP="000A2B11">
      <w:pPr>
        <w:pStyle w:val="ListParagraph"/>
        <w:spacing w:after="120"/>
        <w:ind w:hanging="720"/>
        <w:contextualSpacing w:val="0"/>
        <w:jc w:val="both"/>
        <w:rPr>
          <w:rFonts w:ascii="Arial" w:hAnsi="Arial" w:cs="Arial"/>
        </w:rPr>
      </w:pPr>
      <w:r>
        <w:rPr>
          <w:rFonts w:ascii="Arial" w:hAnsi="Arial" w:cs="Arial"/>
        </w:rPr>
        <w:t>3.2.2</w:t>
      </w:r>
      <w:r w:rsidRPr="00DF6788">
        <w:rPr>
          <w:rFonts w:ascii="Arial" w:hAnsi="Arial" w:cs="Arial"/>
        </w:rPr>
        <w:tab/>
        <w:t>The PCC and CC have a shared responsibility to provide effective management of the policing budget and to secure value for money in the exercise of their functions.</w:t>
      </w:r>
    </w:p>
    <w:p w14:paraId="2D6CF178" w14:textId="77777777" w:rsidR="00254819" w:rsidRPr="00AB5462" w:rsidRDefault="00254819" w:rsidP="000A2B11">
      <w:pPr>
        <w:spacing w:after="120"/>
        <w:ind w:left="720" w:hanging="720"/>
        <w:jc w:val="both"/>
        <w:rPr>
          <w:rFonts w:ascii="Arial" w:hAnsi="Arial" w:cs="Arial"/>
        </w:rPr>
      </w:pPr>
      <w:r>
        <w:rPr>
          <w:rFonts w:ascii="Arial" w:hAnsi="Arial" w:cs="Arial"/>
        </w:rPr>
        <w:lastRenderedPageBreak/>
        <w:t>3.3.8</w:t>
      </w:r>
      <w:r w:rsidRPr="00AB5462">
        <w:rPr>
          <w:rFonts w:ascii="Arial" w:hAnsi="Arial" w:cs="Arial"/>
        </w:rPr>
        <w:tab/>
        <w:t xml:space="preserve">There are </w:t>
      </w:r>
      <w:r>
        <w:rPr>
          <w:rFonts w:ascii="Arial" w:hAnsi="Arial" w:cs="Arial"/>
        </w:rPr>
        <w:t>three</w:t>
      </w:r>
      <w:r w:rsidRPr="00AB5462">
        <w:rPr>
          <w:rFonts w:ascii="Arial" w:hAnsi="Arial" w:cs="Arial"/>
        </w:rPr>
        <w:t xml:space="preserve"> circumstances in which business support may be sought from the other party. These are known as cooperative arrangements and are as follows:</w:t>
      </w:r>
    </w:p>
    <w:p w14:paraId="47785D7D"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The PCC wishes to seek support from the CC’s staff;</w:t>
      </w:r>
    </w:p>
    <w:p w14:paraId="6FA75687"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 xml:space="preserve">The CC wishes to seek support from the PCC’s staff; and </w:t>
      </w:r>
    </w:p>
    <w:p w14:paraId="01AF7C3F"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The PCC and the CC agree jointly on the commissioning of work to be undertaken either by the PCC’s staff, the CC’s staff, or by both.</w:t>
      </w:r>
    </w:p>
    <w:p w14:paraId="2122ADD7" w14:textId="427963E0" w:rsidR="00254819" w:rsidRPr="00254819" w:rsidRDefault="00254819" w:rsidP="000A2B11">
      <w:pPr>
        <w:spacing w:after="120"/>
        <w:ind w:left="709" w:hanging="709"/>
        <w:jc w:val="both"/>
        <w:rPr>
          <w:rFonts w:ascii="Arial" w:hAnsi="Arial" w:cs="Arial"/>
        </w:rPr>
      </w:pPr>
      <w:r w:rsidRPr="00254819">
        <w:rPr>
          <w:rFonts w:ascii="Arial" w:hAnsi="Arial" w:cs="Arial"/>
        </w:rPr>
        <w:t>3.3</w:t>
      </w:r>
      <w:r w:rsidR="003A5037">
        <w:rPr>
          <w:rFonts w:ascii="Arial" w:hAnsi="Arial" w:cs="Arial"/>
        </w:rPr>
        <w:t>.15</w:t>
      </w:r>
      <w:r w:rsidR="003A5037">
        <w:rPr>
          <w:rFonts w:ascii="Arial" w:hAnsi="Arial" w:cs="Arial"/>
        </w:rPr>
        <w:tab/>
      </w:r>
      <w:r w:rsidRPr="00254819">
        <w:rPr>
          <w:rFonts w:ascii="Arial" w:hAnsi="Arial" w:cs="Arial"/>
        </w:rPr>
        <w:t>Posts may be advertised and staff may be moved between the PCC and CC as agreed by them following established policies, practices and procedures.</w:t>
      </w:r>
    </w:p>
    <w:p w14:paraId="46231879" w14:textId="7AA435A7" w:rsidR="00254819" w:rsidRPr="00254819" w:rsidRDefault="00254819" w:rsidP="000A2B11">
      <w:pPr>
        <w:spacing w:after="120"/>
        <w:ind w:left="709" w:hanging="709"/>
        <w:jc w:val="both"/>
        <w:rPr>
          <w:rFonts w:ascii="Arial" w:hAnsi="Arial" w:cs="Arial"/>
        </w:rPr>
      </w:pPr>
      <w:r w:rsidRPr="00254819">
        <w:rPr>
          <w:rFonts w:ascii="Arial" w:hAnsi="Arial" w:cs="Arial"/>
        </w:rPr>
        <w:t>3.6.2</w:t>
      </w:r>
      <w:r w:rsidRPr="00254819">
        <w:rPr>
          <w:rFonts w:ascii="Arial" w:hAnsi="Arial" w:cs="Arial"/>
        </w:rPr>
        <w:tab/>
        <w:t>The PCC has a duty, in carrying out any of his/her functions, to have regard to the views of the communities in the Dyf</w:t>
      </w:r>
      <w:r w:rsidR="00191562">
        <w:rPr>
          <w:rFonts w:ascii="Arial" w:hAnsi="Arial" w:cs="Arial"/>
        </w:rPr>
        <w:t>ed-Powys area on policing, the P</w:t>
      </w:r>
      <w:r w:rsidRPr="00254819">
        <w:rPr>
          <w:rFonts w:ascii="Arial" w:hAnsi="Arial" w:cs="Arial"/>
        </w:rPr>
        <w:t xml:space="preserve">olice and </w:t>
      </w:r>
      <w:r w:rsidR="00191562">
        <w:rPr>
          <w:rFonts w:ascii="Arial" w:hAnsi="Arial" w:cs="Arial"/>
        </w:rPr>
        <w:t>C</w:t>
      </w:r>
      <w:r w:rsidRPr="00254819">
        <w:rPr>
          <w:rFonts w:ascii="Arial" w:hAnsi="Arial" w:cs="Arial"/>
        </w:rPr>
        <w:t xml:space="preserve">rime </w:t>
      </w:r>
      <w:r w:rsidR="00191562">
        <w:rPr>
          <w:rFonts w:ascii="Arial" w:hAnsi="Arial" w:cs="Arial"/>
        </w:rPr>
        <w:t>P</w:t>
      </w:r>
      <w:r w:rsidRPr="00254819">
        <w:rPr>
          <w:rFonts w:ascii="Arial" w:hAnsi="Arial" w:cs="Arial"/>
        </w:rPr>
        <w:t>lan and proposals for expenditure.</w:t>
      </w:r>
    </w:p>
    <w:p w14:paraId="161E73B4" w14:textId="2673A576" w:rsidR="00254819" w:rsidRDefault="00254819" w:rsidP="000A2B11">
      <w:pPr>
        <w:spacing w:after="120"/>
        <w:ind w:left="709" w:hanging="709"/>
        <w:jc w:val="both"/>
        <w:rPr>
          <w:rFonts w:ascii="Arial" w:hAnsi="Arial" w:cs="Arial"/>
        </w:rPr>
      </w:pPr>
      <w:r w:rsidRPr="00254819">
        <w:rPr>
          <w:rFonts w:ascii="Arial" w:hAnsi="Arial" w:cs="Arial"/>
        </w:rPr>
        <w:t>3.6.3</w:t>
      </w:r>
      <w:r w:rsidRPr="00254819">
        <w:rPr>
          <w:rFonts w:ascii="Arial" w:hAnsi="Arial" w:cs="Arial"/>
        </w:rPr>
        <w:tab/>
        <w:t>The CC also has a duty to make arrangements for obtaining the views of persons within each neighbourhood in the Dyfed-Powys area about crime and disorder in that neighbourhood and to provide such persons with information about policing in that neighbourhood</w:t>
      </w:r>
      <w:r>
        <w:rPr>
          <w:rFonts w:ascii="Arial" w:hAnsi="Arial" w:cs="Arial"/>
        </w:rPr>
        <w:t>.</w:t>
      </w:r>
    </w:p>
    <w:p w14:paraId="70DC83BA" w14:textId="555394C5" w:rsidR="00254819" w:rsidRPr="005D33CD" w:rsidRDefault="00254819" w:rsidP="000A2B11">
      <w:pPr>
        <w:spacing w:after="120"/>
        <w:ind w:left="720" w:hanging="720"/>
        <w:jc w:val="both"/>
        <w:rPr>
          <w:rFonts w:ascii="Arial" w:hAnsi="Arial" w:cs="Arial"/>
        </w:rPr>
      </w:pPr>
      <w:r w:rsidRPr="005D33CD">
        <w:rPr>
          <w:rFonts w:ascii="Arial" w:hAnsi="Arial" w:cs="Arial"/>
        </w:rPr>
        <w:t>3.7.1</w:t>
      </w:r>
      <w:r w:rsidRPr="005D33CD">
        <w:rPr>
          <w:rFonts w:ascii="Arial" w:hAnsi="Arial" w:cs="Arial"/>
        </w:rPr>
        <w:tab/>
      </w:r>
      <w:r w:rsidR="00AD18B9" w:rsidRPr="005D33CD">
        <w:rPr>
          <w:rFonts w:ascii="Arial" w:hAnsi="Arial" w:cs="Arial"/>
        </w:rPr>
        <w:t xml:space="preserve">Both the PCC and the CC are separate data controllers and processors and have duties under the </w:t>
      </w:r>
      <w:hyperlink r:id="rId10" w:history="1">
        <w:r w:rsidR="00AD18B9" w:rsidRPr="005D33CD">
          <w:rPr>
            <w:rStyle w:val="Hyperlink"/>
            <w:rFonts w:ascii="Arial" w:hAnsi="Arial" w:cs="Arial"/>
          </w:rPr>
          <w:t>General Data Protection Regulation</w:t>
        </w:r>
      </w:hyperlink>
      <w:r w:rsidR="00AD18B9" w:rsidRPr="005D33CD">
        <w:rPr>
          <w:rFonts w:ascii="Arial" w:hAnsi="Arial" w:cs="Arial"/>
        </w:rPr>
        <w:t xml:space="preserve"> (GDPR), the </w:t>
      </w:r>
      <w:hyperlink r:id="rId11" w:history="1">
        <w:r w:rsidR="00AD18B9" w:rsidRPr="005D33CD">
          <w:rPr>
            <w:rStyle w:val="Hyperlink"/>
            <w:rFonts w:ascii="Arial" w:hAnsi="Arial" w:cs="Arial"/>
          </w:rPr>
          <w:t>Data Protection Act 2018</w:t>
        </w:r>
      </w:hyperlink>
      <w:r w:rsidR="00AD18B9" w:rsidRPr="005D33CD">
        <w:rPr>
          <w:rFonts w:ascii="Arial" w:hAnsi="Arial" w:cs="Arial"/>
        </w:rPr>
        <w:t xml:space="preserve"> and </w:t>
      </w:r>
      <w:hyperlink r:id="rId12" w:history="1">
        <w:r w:rsidR="00AD18B9" w:rsidRPr="005D33CD">
          <w:rPr>
            <w:rStyle w:val="Hyperlink"/>
            <w:rFonts w:ascii="Arial" w:hAnsi="Arial" w:cs="Arial"/>
          </w:rPr>
          <w:t>Freedom of Information Act</w:t>
        </w:r>
      </w:hyperlink>
      <w:r w:rsidR="00AD18B9" w:rsidRPr="005D33CD">
        <w:rPr>
          <w:rFonts w:ascii="Arial" w:hAnsi="Arial" w:cs="Arial"/>
        </w:rPr>
        <w:t xml:space="preserve"> (FOIA) 2000.</w:t>
      </w:r>
    </w:p>
    <w:p w14:paraId="128443D6" w14:textId="211B1EEB" w:rsidR="00254819" w:rsidRPr="00AB5462" w:rsidRDefault="00254819" w:rsidP="000A2B11">
      <w:pPr>
        <w:spacing w:after="120"/>
        <w:ind w:left="720" w:hanging="720"/>
        <w:jc w:val="both"/>
        <w:rPr>
          <w:rFonts w:ascii="Arial" w:hAnsi="Arial" w:cs="Arial"/>
        </w:rPr>
      </w:pPr>
      <w:r w:rsidRPr="005D33CD">
        <w:rPr>
          <w:rFonts w:ascii="Arial" w:hAnsi="Arial" w:cs="Arial"/>
        </w:rPr>
        <w:t>3.7.6</w:t>
      </w:r>
      <w:r w:rsidRPr="005D33CD">
        <w:rPr>
          <w:rFonts w:ascii="Arial" w:hAnsi="Arial" w:cs="Arial"/>
        </w:rPr>
        <w:tab/>
        <w:t>In order to enable the PCC to exercise the functions of their office effectively, they will need access to information and officers and staff within their force area. The PCC and CC will share information where appropriate to support each other in exercising their functions</w:t>
      </w:r>
      <w:r w:rsidR="00616769" w:rsidRPr="005D33CD">
        <w:rPr>
          <w:rFonts w:ascii="Arial" w:hAnsi="Arial" w:cs="Arial"/>
        </w:rPr>
        <w:t>; where this relates to the sharing of personal data, such sharing will be in accordance with the requirements of the DPA and GDPR as appropriate</w:t>
      </w:r>
      <w:r w:rsidRPr="005D33CD">
        <w:rPr>
          <w:rFonts w:ascii="Arial" w:hAnsi="Arial" w:cs="Arial"/>
        </w:rPr>
        <w:t>. Access to information must not be unreasonably withheld.</w:t>
      </w:r>
    </w:p>
    <w:p w14:paraId="609B9E5B" w14:textId="048980E3" w:rsidR="006D0E50" w:rsidRDefault="00254819" w:rsidP="000A2B11">
      <w:pPr>
        <w:spacing w:after="120"/>
        <w:ind w:left="720" w:hanging="720"/>
        <w:jc w:val="both"/>
        <w:rPr>
          <w:rFonts w:ascii="Arial" w:eastAsia="Times New Roman" w:hAnsi="Arial" w:cs="Arial"/>
          <w:bCs/>
        </w:rPr>
      </w:pPr>
      <w:r>
        <w:rPr>
          <w:rFonts w:ascii="Arial" w:eastAsia="Times New Roman" w:hAnsi="Arial" w:cs="Arial"/>
          <w:bCs/>
        </w:rPr>
        <w:lastRenderedPageBreak/>
        <w:t>3.9.1</w:t>
      </w:r>
      <w:r>
        <w:rPr>
          <w:rFonts w:ascii="Arial" w:eastAsia="Times New Roman" w:hAnsi="Arial" w:cs="Arial"/>
          <w:bCs/>
        </w:rPr>
        <w:tab/>
      </w:r>
      <w:r w:rsidRPr="00C66657">
        <w:rPr>
          <w:rFonts w:ascii="Arial" w:eastAsia="Times New Roman" w:hAnsi="Arial" w:cs="Arial"/>
          <w:bCs/>
        </w:rPr>
        <w:t xml:space="preserve">The </w:t>
      </w:r>
      <w:r>
        <w:rPr>
          <w:rFonts w:ascii="Arial" w:eastAsia="Times New Roman" w:hAnsi="Arial" w:cs="Arial"/>
          <w:bCs/>
        </w:rPr>
        <w:t>P</w:t>
      </w:r>
      <w:r w:rsidRPr="00C66657">
        <w:rPr>
          <w:rFonts w:ascii="Arial" w:eastAsia="Times New Roman" w:hAnsi="Arial" w:cs="Arial"/>
          <w:bCs/>
        </w:rPr>
        <w:t xml:space="preserve">CC is responsible for the </w:t>
      </w:r>
      <w:r>
        <w:rPr>
          <w:rFonts w:ascii="Arial" w:eastAsia="Times New Roman" w:hAnsi="Arial" w:cs="Arial"/>
          <w:bCs/>
        </w:rPr>
        <w:t>estate. All e</w:t>
      </w:r>
      <w:r w:rsidRPr="00C66657">
        <w:rPr>
          <w:rFonts w:ascii="Arial" w:eastAsia="Times New Roman" w:hAnsi="Arial" w:cs="Arial"/>
          <w:bCs/>
        </w:rPr>
        <w:t>states projects</w:t>
      </w:r>
      <w:r>
        <w:rPr>
          <w:rFonts w:ascii="Arial" w:eastAsia="Times New Roman" w:hAnsi="Arial" w:cs="Arial"/>
          <w:bCs/>
        </w:rPr>
        <w:t>, whether</w:t>
      </w:r>
      <w:r w:rsidRPr="00C66657">
        <w:rPr>
          <w:rFonts w:ascii="Arial" w:eastAsia="Times New Roman" w:hAnsi="Arial" w:cs="Arial"/>
          <w:bCs/>
        </w:rPr>
        <w:t xml:space="preserve"> driven by the PCC’s strategic decisions</w:t>
      </w:r>
      <w:r>
        <w:rPr>
          <w:rFonts w:ascii="Arial" w:eastAsia="Times New Roman" w:hAnsi="Arial" w:cs="Arial"/>
          <w:bCs/>
        </w:rPr>
        <w:t xml:space="preserve"> or by operational / maintenance needs, will be </w:t>
      </w:r>
      <w:r w:rsidRPr="00C66657">
        <w:rPr>
          <w:rFonts w:ascii="Arial" w:eastAsia="Times New Roman" w:hAnsi="Arial" w:cs="Arial"/>
          <w:bCs/>
        </w:rPr>
        <w:t>led by</w:t>
      </w:r>
      <w:r>
        <w:rPr>
          <w:rFonts w:ascii="Arial" w:eastAsia="Times New Roman" w:hAnsi="Arial" w:cs="Arial"/>
          <w:bCs/>
        </w:rPr>
        <w:t xml:space="preserve"> the PCC’s Director of Estates.</w:t>
      </w:r>
    </w:p>
    <w:p w14:paraId="05275AE6" w14:textId="170E5340" w:rsidR="005C6750" w:rsidRPr="000A2B11" w:rsidRDefault="005C6750" w:rsidP="000A2B11">
      <w:pPr>
        <w:spacing w:after="120"/>
        <w:ind w:left="720" w:hanging="720"/>
        <w:jc w:val="both"/>
        <w:rPr>
          <w:rFonts w:ascii="Arial" w:eastAsia="Times New Roman" w:hAnsi="Arial" w:cs="Arial"/>
          <w:bCs/>
        </w:rPr>
      </w:pPr>
      <w:r>
        <w:rPr>
          <w:rFonts w:ascii="Arial" w:eastAsia="Times New Roman" w:hAnsi="Arial" w:cs="Arial"/>
          <w:bCs/>
        </w:rPr>
        <w:t xml:space="preserve">See a complete version of the </w:t>
      </w:r>
      <w:hyperlink r:id="rId13" w:history="1">
        <w:r w:rsidRPr="00F23F79">
          <w:rPr>
            <w:rStyle w:val="Hyperlink"/>
            <w:rFonts w:ascii="Arial" w:eastAsia="Times New Roman" w:hAnsi="Arial" w:cs="Arial"/>
            <w:bCs/>
          </w:rPr>
          <w:t>Corporate Governance Framework</w:t>
        </w:r>
      </w:hyperlink>
      <w:bookmarkStart w:id="0" w:name="_GoBack"/>
      <w:bookmarkEnd w:id="0"/>
      <w:r>
        <w:rPr>
          <w:rFonts w:ascii="Arial" w:eastAsia="Times New Roman" w:hAnsi="Arial" w:cs="Arial"/>
          <w:bCs/>
        </w:rPr>
        <w:t xml:space="preserve"> on the website.</w:t>
      </w:r>
    </w:p>
    <w:sectPr w:rsidR="005C6750" w:rsidRPr="000A2B11" w:rsidSect="00693ECE">
      <w:headerReference w:type="default" r:id="rId14"/>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1EAD" w14:textId="77777777" w:rsidR="006D0E50" w:rsidRDefault="006D0E50" w:rsidP="006D0E50">
      <w:pPr>
        <w:spacing w:after="0" w:line="240" w:lineRule="auto"/>
      </w:pPr>
      <w:r>
        <w:separator/>
      </w:r>
    </w:p>
  </w:endnote>
  <w:endnote w:type="continuationSeparator" w:id="0">
    <w:p w14:paraId="6665F759" w14:textId="77777777" w:rsidR="006D0E50" w:rsidRDefault="006D0E50" w:rsidP="006D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rebuchet MS Bold">
    <w:panose1 w:val="020B0703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FE00F" w14:textId="77777777" w:rsidR="006D0E50" w:rsidRDefault="006D0E50" w:rsidP="006D0E50">
      <w:pPr>
        <w:spacing w:after="0" w:line="240" w:lineRule="auto"/>
      </w:pPr>
      <w:r>
        <w:separator/>
      </w:r>
    </w:p>
  </w:footnote>
  <w:footnote w:type="continuationSeparator" w:id="0">
    <w:p w14:paraId="455D77C7" w14:textId="77777777" w:rsidR="006D0E50" w:rsidRDefault="006D0E50" w:rsidP="006D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D82D" w14:textId="765661CE" w:rsidR="000A2B11" w:rsidRDefault="000A2B11">
    <w:pPr>
      <w:pStyle w:val="Header"/>
    </w:pPr>
    <w:r>
      <w:rPr>
        <w:rFonts w:ascii="Trebuchet MS Bold" w:eastAsia="Trebuchet MS Bold" w:hAnsi="Trebuchet MS Bold" w:cs="Trebuchet MS Bold"/>
        <w:noProof/>
        <w:lang w:eastAsia="en-GB"/>
      </w:rPr>
      <w:drawing>
        <wp:anchor distT="0" distB="0" distL="114300" distR="114300" simplePos="0" relativeHeight="251658240" behindDoc="0" locked="0" layoutInCell="1" allowOverlap="1" wp14:anchorId="481179BA" wp14:editId="610BF2F3">
          <wp:simplePos x="0" y="0"/>
          <wp:positionH relativeFrom="column">
            <wp:posOffset>0</wp:posOffset>
          </wp:positionH>
          <wp:positionV relativeFrom="paragraph">
            <wp:posOffset>-83820</wp:posOffset>
          </wp:positionV>
          <wp:extent cx="2120524" cy="647700"/>
          <wp:effectExtent l="0" t="0" r="0" b="0"/>
          <wp:wrapNone/>
          <wp:docPr id="3" name="Picture 3" descr="\\teams\sites\OPCC\OPCC Site\Engagement\OPCC Branding\Dyfed Powys Logo(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sites\OPCC\OPCC Site\Engagement\OPCC Branding\Dyfed Powys Logo(transparen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24"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Bold"/>
        <w:noProof/>
        <w:color w:val="548DD4"/>
        <w:sz w:val="72"/>
        <w:szCs w:val="72"/>
        <w:u w:color="548DD4"/>
        <w:lang w:eastAsia="en-GB"/>
      </w:rPr>
      <w:drawing>
        <wp:inline distT="0" distB="0" distL="0" distR="0" wp14:anchorId="6AF31824" wp14:editId="0AF2041C">
          <wp:extent cx="1668780" cy="678853"/>
          <wp:effectExtent l="0" t="0" r="7620" b="6985"/>
          <wp:docPr id="4" name="Picture 4" descr="\\teams\sites\OPCC\OPCC Site\Engagement\OPCC Branding\OPCC Master Logo High Res(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s\sites\OPCC\OPCC Site\Engagement\OPCC Branding\OPCC Master Logo High Res(transparent backgroun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9723" cy="67923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3CF"/>
    <w:multiLevelType w:val="hybridMultilevel"/>
    <w:tmpl w:val="E23C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4074"/>
    <w:multiLevelType w:val="hybridMultilevel"/>
    <w:tmpl w:val="A5F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736B5"/>
    <w:multiLevelType w:val="hybridMultilevel"/>
    <w:tmpl w:val="E2325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4322773"/>
    <w:multiLevelType w:val="hybridMultilevel"/>
    <w:tmpl w:val="242A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C27FF"/>
    <w:multiLevelType w:val="multilevel"/>
    <w:tmpl w:val="3FC4CF7C"/>
    <w:lvl w:ilvl="0">
      <w:start w:val="1"/>
      <w:numFmt w:val="decimal"/>
      <w:lvlText w:val="%1"/>
      <w:lvlJc w:val="left"/>
      <w:pPr>
        <w:ind w:left="1211" w:hanging="360"/>
      </w:pPr>
      <w:rPr>
        <w:rFonts w:asciiTheme="minorHAnsi" w:eastAsiaTheme="minorHAnsi" w:hAnsiTheme="minorHAnsi" w:cstheme="minorBidi"/>
        <w:color w:val="auto"/>
      </w:rPr>
    </w:lvl>
    <w:lvl w:ilvl="1">
      <w:start w:val="1"/>
      <w:numFmt w:val="decimal"/>
      <w:lvlText w:val="%1.%2"/>
      <w:lvlJc w:val="left"/>
      <w:pPr>
        <w:ind w:left="1211" w:hanging="36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5" w15:restartNumberingAfterBreak="0">
    <w:nsid w:val="7702565A"/>
    <w:multiLevelType w:val="hybridMultilevel"/>
    <w:tmpl w:val="FCB695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0567D"/>
    <w:multiLevelType w:val="hybridMultilevel"/>
    <w:tmpl w:val="8E0E28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15"/>
    <w:rsid w:val="00006955"/>
    <w:rsid w:val="00026059"/>
    <w:rsid w:val="000340CE"/>
    <w:rsid w:val="0003655D"/>
    <w:rsid w:val="00072E5A"/>
    <w:rsid w:val="00085C0E"/>
    <w:rsid w:val="000A2B11"/>
    <w:rsid w:val="000A6E45"/>
    <w:rsid w:val="00122966"/>
    <w:rsid w:val="00124F9B"/>
    <w:rsid w:val="00132B27"/>
    <w:rsid w:val="001517CB"/>
    <w:rsid w:val="00161CF0"/>
    <w:rsid w:val="00174C73"/>
    <w:rsid w:val="00190675"/>
    <w:rsid w:val="00191562"/>
    <w:rsid w:val="0019412F"/>
    <w:rsid w:val="001A17E5"/>
    <w:rsid w:val="001B1D38"/>
    <w:rsid w:val="001D16C1"/>
    <w:rsid w:val="001D5E63"/>
    <w:rsid w:val="001E4FEE"/>
    <w:rsid w:val="001F2CF2"/>
    <w:rsid w:val="0020067E"/>
    <w:rsid w:val="00201A03"/>
    <w:rsid w:val="00213458"/>
    <w:rsid w:val="002506BF"/>
    <w:rsid w:val="00254819"/>
    <w:rsid w:val="00264609"/>
    <w:rsid w:val="00285306"/>
    <w:rsid w:val="002B6E25"/>
    <w:rsid w:val="002B7A80"/>
    <w:rsid w:val="00332CC2"/>
    <w:rsid w:val="00362100"/>
    <w:rsid w:val="00375D4F"/>
    <w:rsid w:val="003934FF"/>
    <w:rsid w:val="003A375D"/>
    <w:rsid w:val="003A4F8C"/>
    <w:rsid w:val="003A5037"/>
    <w:rsid w:val="003B4415"/>
    <w:rsid w:val="003E3121"/>
    <w:rsid w:val="003F03C7"/>
    <w:rsid w:val="003F6825"/>
    <w:rsid w:val="0040019C"/>
    <w:rsid w:val="004033E7"/>
    <w:rsid w:val="004133C9"/>
    <w:rsid w:val="0041436A"/>
    <w:rsid w:val="00423ED2"/>
    <w:rsid w:val="00445FC2"/>
    <w:rsid w:val="0044657E"/>
    <w:rsid w:val="00451B34"/>
    <w:rsid w:val="004524BA"/>
    <w:rsid w:val="00477240"/>
    <w:rsid w:val="004A31F6"/>
    <w:rsid w:val="004A677B"/>
    <w:rsid w:val="004B2C6B"/>
    <w:rsid w:val="005301B2"/>
    <w:rsid w:val="005556C3"/>
    <w:rsid w:val="00577E52"/>
    <w:rsid w:val="00597560"/>
    <w:rsid w:val="005A0B66"/>
    <w:rsid w:val="005A5E5E"/>
    <w:rsid w:val="005C6750"/>
    <w:rsid w:val="005C7AAC"/>
    <w:rsid w:val="005D33CD"/>
    <w:rsid w:val="005E2B10"/>
    <w:rsid w:val="005E5369"/>
    <w:rsid w:val="00603228"/>
    <w:rsid w:val="00611A70"/>
    <w:rsid w:val="0061342B"/>
    <w:rsid w:val="00616769"/>
    <w:rsid w:val="00623903"/>
    <w:rsid w:val="0063766B"/>
    <w:rsid w:val="006503BB"/>
    <w:rsid w:val="00672D92"/>
    <w:rsid w:val="006850AB"/>
    <w:rsid w:val="00693ECE"/>
    <w:rsid w:val="00693FCD"/>
    <w:rsid w:val="006A06DF"/>
    <w:rsid w:val="006B1457"/>
    <w:rsid w:val="006B7D3F"/>
    <w:rsid w:val="006D0E50"/>
    <w:rsid w:val="006D5B96"/>
    <w:rsid w:val="006E2F6B"/>
    <w:rsid w:val="006F3FC1"/>
    <w:rsid w:val="007017EF"/>
    <w:rsid w:val="007127DB"/>
    <w:rsid w:val="00723AB7"/>
    <w:rsid w:val="00735E6C"/>
    <w:rsid w:val="00740C9D"/>
    <w:rsid w:val="007641C9"/>
    <w:rsid w:val="007C5167"/>
    <w:rsid w:val="007E41A6"/>
    <w:rsid w:val="00817706"/>
    <w:rsid w:val="00825DD9"/>
    <w:rsid w:val="00872466"/>
    <w:rsid w:val="00895DFF"/>
    <w:rsid w:val="008C2901"/>
    <w:rsid w:val="008C39A6"/>
    <w:rsid w:val="008D4704"/>
    <w:rsid w:val="008F3453"/>
    <w:rsid w:val="00914AD7"/>
    <w:rsid w:val="0092521E"/>
    <w:rsid w:val="00932BB5"/>
    <w:rsid w:val="00964C14"/>
    <w:rsid w:val="009767BA"/>
    <w:rsid w:val="00981955"/>
    <w:rsid w:val="009832EA"/>
    <w:rsid w:val="009A5E2E"/>
    <w:rsid w:val="009C1B20"/>
    <w:rsid w:val="009C3182"/>
    <w:rsid w:val="00A07FE2"/>
    <w:rsid w:val="00A21325"/>
    <w:rsid w:val="00A53264"/>
    <w:rsid w:val="00A56181"/>
    <w:rsid w:val="00A67D27"/>
    <w:rsid w:val="00A7674D"/>
    <w:rsid w:val="00A84A59"/>
    <w:rsid w:val="00A90592"/>
    <w:rsid w:val="00A947F8"/>
    <w:rsid w:val="00AB351E"/>
    <w:rsid w:val="00AC0D44"/>
    <w:rsid w:val="00AD18B9"/>
    <w:rsid w:val="00AD5440"/>
    <w:rsid w:val="00AD59A1"/>
    <w:rsid w:val="00AE056C"/>
    <w:rsid w:val="00AE1565"/>
    <w:rsid w:val="00B00600"/>
    <w:rsid w:val="00B05B69"/>
    <w:rsid w:val="00B1374C"/>
    <w:rsid w:val="00B93E23"/>
    <w:rsid w:val="00BA3640"/>
    <w:rsid w:val="00BC58E7"/>
    <w:rsid w:val="00BE1DA1"/>
    <w:rsid w:val="00BF65BD"/>
    <w:rsid w:val="00C0113B"/>
    <w:rsid w:val="00C128F1"/>
    <w:rsid w:val="00C31F77"/>
    <w:rsid w:val="00C33BB5"/>
    <w:rsid w:val="00C4598D"/>
    <w:rsid w:val="00C6299F"/>
    <w:rsid w:val="00C636B3"/>
    <w:rsid w:val="00C735FA"/>
    <w:rsid w:val="00C75D16"/>
    <w:rsid w:val="00C95654"/>
    <w:rsid w:val="00CA08BB"/>
    <w:rsid w:val="00CB27A8"/>
    <w:rsid w:val="00CE23D2"/>
    <w:rsid w:val="00CF4172"/>
    <w:rsid w:val="00D00866"/>
    <w:rsid w:val="00D11144"/>
    <w:rsid w:val="00D17445"/>
    <w:rsid w:val="00D223D0"/>
    <w:rsid w:val="00D577B7"/>
    <w:rsid w:val="00D730F5"/>
    <w:rsid w:val="00D75EF6"/>
    <w:rsid w:val="00D81BE1"/>
    <w:rsid w:val="00D91DBF"/>
    <w:rsid w:val="00D973AD"/>
    <w:rsid w:val="00E02353"/>
    <w:rsid w:val="00E03F3B"/>
    <w:rsid w:val="00E24B26"/>
    <w:rsid w:val="00E33A56"/>
    <w:rsid w:val="00E816B0"/>
    <w:rsid w:val="00E95A14"/>
    <w:rsid w:val="00E95C4C"/>
    <w:rsid w:val="00EA6644"/>
    <w:rsid w:val="00F016FD"/>
    <w:rsid w:val="00F1414E"/>
    <w:rsid w:val="00F23F79"/>
    <w:rsid w:val="00F35378"/>
    <w:rsid w:val="00F835EC"/>
    <w:rsid w:val="00F85D07"/>
    <w:rsid w:val="00F90AA8"/>
    <w:rsid w:val="00F95848"/>
    <w:rsid w:val="00FA1541"/>
    <w:rsid w:val="00FB333C"/>
    <w:rsid w:val="00FD39C8"/>
    <w:rsid w:val="00FD3E3E"/>
    <w:rsid w:val="00FE6BB2"/>
    <w:rsid w:val="00FE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610895"/>
  <w15:docId w15:val="{48A3A5CF-5D24-4EFC-BD07-88155DC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6A"/>
    <w:pPr>
      <w:ind w:left="720"/>
      <w:contextualSpacing/>
    </w:pPr>
  </w:style>
  <w:style w:type="character" w:styleId="Hyperlink">
    <w:name w:val="Hyperlink"/>
    <w:basedOn w:val="DefaultParagraphFont"/>
    <w:uiPriority w:val="99"/>
    <w:unhideWhenUsed/>
    <w:rsid w:val="0041436A"/>
    <w:rPr>
      <w:color w:val="0000FF" w:themeColor="hyperlink"/>
      <w:u w:val="single"/>
    </w:rPr>
  </w:style>
  <w:style w:type="paragraph" w:customStyle="1" w:styleId="Default">
    <w:name w:val="Default"/>
    <w:rsid w:val="00817706"/>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D75EF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CommentReference">
    <w:name w:val="annotation reference"/>
    <w:basedOn w:val="DefaultParagraphFont"/>
    <w:semiHidden/>
    <w:unhideWhenUsed/>
    <w:rsid w:val="00D75EF6"/>
    <w:rPr>
      <w:sz w:val="16"/>
      <w:szCs w:val="16"/>
    </w:rPr>
  </w:style>
  <w:style w:type="paragraph" w:styleId="CommentText">
    <w:name w:val="annotation text"/>
    <w:basedOn w:val="Normal"/>
    <w:link w:val="CommentTextChar"/>
    <w:semiHidden/>
    <w:unhideWhenUsed/>
    <w:rsid w:val="00D75EF6"/>
    <w:pPr>
      <w:spacing w:line="240" w:lineRule="auto"/>
    </w:pPr>
    <w:rPr>
      <w:sz w:val="20"/>
      <w:szCs w:val="20"/>
    </w:rPr>
  </w:style>
  <w:style w:type="character" w:customStyle="1" w:styleId="CommentTextChar">
    <w:name w:val="Comment Text Char"/>
    <w:basedOn w:val="DefaultParagraphFont"/>
    <w:link w:val="CommentText"/>
    <w:semiHidden/>
    <w:rsid w:val="00D75EF6"/>
    <w:rPr>
      <w:sz w:val="20"/>
      <w:szCs w:val="20"/>
    </w:rPr>
  </w:style>
  <w:style w:type="paragraph" w:styleId="BalloonText">
    <w:name w:val="Balloon Text"/>
    <w:basedOn w:val="Normal"/>
    <w:link w:val="BalloonTextChar"/>
    <w:uiPriority w:val="99"/>
    <w:semiHidden/>
    <w:unhideWhenUsed/>
    <w:rsid w:val="00D7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F6"/>
    <w:rPr>
      <w:rFonts w:ascii="Tahoma" w:hAnsi="Tahoma" w:cs="Tahoma"/>
      <w:sz w:val="16"/>
      <w:szCs w:val="16"/>
    </w:rPr>
  </w:style>
  <w:style w:type="paragraph" w:styleId="FootnoteText">
    <w:name w:val="footnote text"/>
    <w:basedOn w:val="Normal"/>
    <w:link w:val="FootnoteTextChar"/>
    <w:unhideWhenUsed/>
    <w:rsid w:val="006D0E50"/>
    <w:pPr>
      <w:spacing w:after="0" w:line="240" w:lineRule="auto"/>
    </w:pPr>
    <w:rPr>
      <w:sz w:val="20"/>
      <w:szCs w:val="20"/>
    </w:rPr>
  </w:style>
  <w:style w:type="character" w:customStyle="1" w:styleId="FootnoteTextChar">
    <w:name w:val="Footnote Text Char"/>
    <w:basedOn w:val="DefaultParagraphFont"/>
    <w:link w:val="FootnoteText"/>
    <w:rsid w:val="006D0E50"/>
    <w:rPr>
      <w:sz w:val="20"/>
      <w:szCs w:val="20"/>
    </w:rPr>
  </w:style>
  <w:style w:type="character" w:styleId="FootnoteReference">
    <w:name w:val="footnote reference"/>
    <w:basedOn w:val="DefaultParagraphFont"/>
    <w:semiHidden/>
    <w:unhideWhenUsed/>
    <w:rsid w:val="006D0E50"/>
    <w:rPr>
      <w:vertAlign w:val="superscript"/>
    </w:rPr>
  </w:style>
  <w:style w:type="paragraph" w:styleId="Header">
    <w:name w:val="header"/>
    <w:basedOn w:val="Normal"/>
    <w:link w:val="HeaderChar"/>
    <w:uiPriority w:val="99"/>
    <w:unhideWhenUsed/>
    <w:rsid w:val="000A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11"/>
  </w:style>
  <w:style w:type="paragraph" w:styleId="Footer">
    <w:name w:val="footer"/>
    <w:basedOn w:val="Normal"/>
    <w:link w:val="FooterChar"/>
    <w:uiPriority w:val="99"/>
    <w:unhideWhenUsed/>
    <w:rsid w:val="000A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11"/>
  </w:style>
  <w:style w:type="character" w:styleId="FollowedHyperlink">
    <w:name w:val="FollowedHyperlink"/>
    <w:basedOn w:val="DefaultParagraphFont"/>
    <w:uiPriority w:val="99"/>
    <w:semiHidden/>
    <w:unhideWhenUsed/>
    <w:rsid w:val="009A5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eams/sites/OPCC/OPCC%20Site/Governance/Public/Corporate%20Governance%20Framework/Current%20Version/Corporate%20Governance%20Framework%2020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00/36/cont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8/12/cont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for-organisations/guide-to-data-protection/guide-to-the-general-data-protection-regulation-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Notes</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D543D-BAA9-4F13-BB2D-14589F12040F}">
  <ds:schemaRefs>
    <ds:schemaRef ds:uri="http://purl.org/dc/terms/"/>
    <ds:schemaRef ds:uri="242c32be-31bf-422c-ab0d-7abc8ae381a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f6dc0cf-1d45-4a2f-a37f-b5391cb0490c"/>
    <ds:schemaRef ds:uri="http://www.w3.org/XML/1998/namespace"/>
  </ds:schemaRefs>
</ds:datastoreItem>
</file>

<file path=customXml/itemProps2.xml><?xml version="1.0" encoding="utf-8"?>
<ds:datastoreItem xmlns:ds="http://schemas.openxmlformats.org/officeDocument/2006/customXml" ds:itemID="{3744AF8D-1D62-4658-B83E-C2B10DB0E16E}">
  <ds:schemaRefs>
    <ds:schemaRef ds:uri="http://schemas.microsoft.com/sharepoint/v3/contenttype/forms"/>
  </ds:schemaRefs>
</ds:datastoreItem>
</file>

<file path=customXml/itemProps3.xml><?xml version="1.0" encoding="utf-8"?>
<ds:datastoreItem xmlns:ds="http://schemas.openxmlformats.org/officeDocument/2006/customXml" ds:itemID="{A2F43EF7-C1BD-404A-A3A2-E07C1A04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Sharon</dc:creator>
  <cp:lastModifiedBy>Cronin Donna OPCC</cp:lastModifiedBy>
  <cp:revision>2</cp:revision>
  <cp:lastPrinted>2018-05-04T14:16:00Z</cp:lastPrinted>
  <dcterms:created xsi:type="dcterms:W3CDTF">2020-04-09T09:18:00Z</dcterms:created>
  <dcterms:modified xsi:type="dcterms:W3CDTF">2020-04-09T09:18:00Z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033f8a52-58c5-4ab8-afcb-41ba5429258e</vt:lpwstr>
  </property>
  <property fmtid="{D5CDD505-2E9C-101B-9397-08002B2CF9AE}" pid="5" name="Classification">
    <vt:lpwstr>OFFICIAL</vt:lpwstr>
  </property>
</Properties>
</file>