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style6.xml" ContentType="application/vnd.ms-office.chartstyle+xml"/>
  <Override PartName="/word/charts/colors6.xml" ContentType="application/vnd.ms-office.chartcolorstyle+xml"/>
  <Override PartName="/word/charts/colors5.xml" ContentType="application/vnd.ms-office.chartcolorstyle+xml"/>
  <Override PartName="/word/charts/style5.xml" ContentType="application/vnd.ms-office.chartstyle+xml"/>
  <Override PartName="/word/charts/chart6.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olors4.xml" ContentType="application/vnd.ms-office.chartcolor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2.xml" ContentType="application/vnd.ms-office.chartstyle+xml"/>
  <Override PartName="/word/charts/style4.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8B" w:rsidRDefault="00E07773">
      <w:r>
        <w:rPr>
          <w:noProof/>
          <w:lang w:eastAsia="en-GB"/>
        </w:rPr>
        <w:drawing>
          <wp:anchor distT="0" distB="0" distL="114300" distR="114300" simplePos="0" relativeHeight="251660288" behindDoc="0" locked="0" layoutInCell="1" allowOverlap="1" wp14:anchorId="025854F1" wp14:editId="11BF5E05">
            <wp:simplePos x="0" y="0"/>
            <wp:positionH relativeFrom="margin">
              <wp:posOffset>-172133</wp:posOffset>
            </wp:positionH>
            <wp:positionV relativeFrom="margin">
              <wp:posOffset>210282</wp:posOffset>
            </wp:positionV>
            <wp:extent cx="6057900" cy="1771650"/>
            <wp:effectExtent l="0" t="0" r="0" b="0"/>
            <wp:wrapSquare wrapText="bothSides"/>
            <wp:docPr id="11" name="Picture 11" descr="Dyfed Pow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 Powy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B8B" w:rsidRDefault="00132B8B"/>
    <w:p w:rsidR="00132B8B" w:rsidRDefault="00132B8B"/>
    <w:p w:rsidR="00132B8B" w:rsidRDefault="00132B8B"/>
    <w:p w:rsidR="00132B8B" w:rsidRDefault="00132B8B"/>
    <w:p w:rsidR="00132B8B" w:rsidRDefault="00132B8B"/>
    <w:p w:rsidR="00132B8B" w:rsidRDefault="00132B8B"/>
    <w:p w:rsidR="00132B8B" w:rsidRDefault="00132B8B"/>
    <w:tbl>
      <w:tblPr>
        <w:tblStyle w:val="TableGrid"/>
        <w:tblpPr w:leftFromText="180" w:rightFromText="180" w:vertAnchor="page" w:horzAnchor="margin" w:tblpY="11131"/>
        <w:tblW w:w="0" w:type="auto"/>
        <w:tblLook w:val="04A0" w:firstRow="1" w:lastRow="0" w:firstColumn="1" w:lastColumn="0" w:noHBand="0" w:noVBand="1"/>
      </w:tblPr>
      <w:tblGrid>
        <w:gridCol w:w="9016"/>
      </w:tblGrid>
      <w:tr w:rsidR="00132B8B" w:rsidTr="00132B8B">
        <w:tc>
          <w:tcPr>
            <w:tcW w:w="9016" w:type="dxa"/>
            <w:shd w:val="clear" w:color="auto" w:fill="D9E2F3" w:themeFill="accent5" w:themeFillTint="33"/>
          </w:tcPr>
          <w:p w:rsidR="00132B8B" w:rsidRDefault="00132B8B" w:rsidP="00132B8B"/>
          <w:p w:rsidR="00132B8B" w:rsidRDefault="00132B8B" w:rsidP="00132B8B">
            <w:pPr>
              <w:rPr>
                <w:rFonts w:ascii="Arial" w:hAnsi="Arial" w:cs="Arial"/>
                <w:b/>
              </w:rPr>
            </w:pPr>
          </w:p>
          <w:p w:rsidR="00132B8B" w:rsidRDefault="00132B8B" w:rsidP="00132B8B">
            <w:pPr>
              <w:rPr>
                <w:rFonts w:ascii="Arial" w:hAnsi="Arial" w:cs="Arial"/>
                <w:b/>
              </w:rPr>
            </w:pPr>
            <w:r>
              <w:rPr>
                <w:rFonts w:ascii="Arial" w:hAnsi="Arial" w:cs="Arial"/>
                <w:b/>
              </w:rPr>
              <w:t xml:space="preserve">Report Title: </w:t>
            </w:r>
            <w:r w:rsidRPr="0028255F">
              <w:rPr>
                <w:rFonts w:ascii="Arial" w:hAnsi="Arial" w:cs="Arial"/>
              </w:rPr>
              <w:t>Information Management Update</w:t>
            </w:r>
            <w:r>
              <w:rPr>
                <w:rFonts w:ascii="Arial" w:hAnsi="Arial" w:cs="Arial"/>
                <w:b/>
              </w:rPr>
              <w:t xml:space="preserve"> </w:t>
            </w:r>
          </w:p>
          <w:p w:rsidR="00132B8B" w:rsidRDefault="00132B8B" w:rsidP="00132B8B">
            <w:pPr>
              <w:rPr>
                <w:rFonts w:ascii="Arial" w:hAnsi="Arial" w:cs="Arial"/>
                <w:b/>
              </w:rPr>
            </w:pPr>
          </w:p>
          <w:p w:rsidR="00132B8B" w:rsidRPr="00132B8B" w:rsidRDefault="00132B8B" w:rsidP="00132B8B">
            <w:pPr>
              <w:rPr>
                <w:rFonts w:ascii="Arial" w:hAnsi="Arial" w:cs="Arial"/>
                <w:b/>
                <w:color w:val="FF0000"/>
              </w:rPr>
            </w:pPr>
            <w:r>
              <w:rPr>
                <w:rFonts w:ascii="Arial" w:hAnsi="Arial" w:cs="Arial"/>
                <w:b/>
              </w:rPr>
              <w:t xml:space="preserve">To:  </w:t>
            </w:r>
            <w:r w:rsidRPr="0028255F">
              <w:rPr>
                <w:rFonts w:ascii="Arial" w:hAnsi="Arial" w:cs="Arial"/>
              </w:rPr>
              <w:t>Policing Board</w:t>
            </w:r>
            <w:r>
              <w:rPr>
                <w:rFonts w:ascii="Arial" w:hAnsi="Arial" w:cs="Arial"/>
                <w:b/>
              </w:rPr>
              <w:t xml:space="preserve"> </w:t>
            </w:r>
          </w:p>
          <w:p w:rsidR="00132B8B" w:rsidRDefault="00132B8B" w:rsidP="00132B8B">
            <w:pPr>
              <w:rPr>
                <w:rFonts w:ascii="Arial" w:hAnsi="Arial" w:cs="Arial"/>
                <w:b/>
              </w:rPr>
            </w:pPr>
          </w:p>
          <w:p w:rsidR="00132B8B" w:rsidRDefault="00132B8B" w:rsidP="00132B8B">
            <w:pPr>
              <w:rPr>
                <w:rFonts w:ascii="Arial" w:hAnsi="Arial" w:cs="Arial"/>
                <w:b/>
              </w:rPr>
            </w:pPr>
            <w:r>
              <w:rPr>
                <w:rFonts w:ascii="Arial" w:hAnsi="Arial" w:cs="Arial"/>
                <w:b/>
              </w:rPr>
              <w:t>Date of report</w:t>
            </w:r>
            <w:r w:rsidRPr="00AD6B9E">
              <w:rPr>
                <w:rFonts w:ascii="Arial" w:hAnsi="Arial" w:cs="Arial"/>
                <w:b/>
              </w:rPr>
              <w:t xml:space="preserve">:  </w:t>
            </w:r>
            <w:r w:rsidR="006970D2" w:rsidRPr="0028255F">
              <w:rPr>
                <w:rFonts w:ascii="Arial" w:hAnsi="Arial" w:cs="Arial"/>
              </w:rPr>
              <w:t>2</w:t>
            </w:r>
            <w:r w:rsidR="00A221C2" w:rsidRPr="0028255F">
              <w:rPr>
                <w:rFonts w:ascii="Arial" w:hAnsi="Arial" w:cs="Arial"/>
              </w:rPr>
              <w:t>3</w:t>
            </w:r>
            <w:r w:rsidR="006970D2" w:rsidRPr="0028255F">
              <w:rPr>
                <w:rFonts w:ascii="Arial" w:hAnsi="Arial" w:cs="Arial"/>
              </w:rPr>
              <w:t xml:space="preserve"> March 2021</w:t>
            </w:r>
            <w:r>
              <w:rPr>
                <w:rFonts w:ascii="Arial" w:hAnsi="Arial" w:cs="Arial"/>
                <w:b/>
              </w:rPr>
              <w:t xml:space="preserve"> </w:t>
            </w:r>
          </w:p>
          <w:p w:rsidR="0028255F" w:rsidRPr="0028255F" w:rsidRDefault="0028255F" w:rsidP="00132B8B">
            <w:pPr>
              <w:rPr>
                <w:rFonts w:ascii="Arial" w:hAnsi="Arial" w:cs="Arial"/>
              </w:rPr>
            </w:pPr>
          </w:p>
          <w:p w:rsidR="0028255F" w:rsidRDefault="0028255F" w:rsidP="00132B8B">
            <w:pPr>
              <w:rPr>
                <w:rFonts w:ascii="Arial" w:hAnsi="Arial" w:cs="Arial"/>
                <w:b/>
              </w:rPr>
            </w:pPr>
            <w:r w:rsidRPr="0028255F">
              <w:rPr>
                <w:rFonts w:ascii="Arial" w:hAnsi="Arial" w:cs="Arial"/>
              </w:rPr>
              <w:t>Date of Policing Board:</w:t>
            </w:r>
            <w:r>
              <w:rPr>
                <w:rFonts w:ascii="Arial" w:hAnsi="Arial" w:cs="Arial"/>
                <w:b/>
              </w:rPr>
              <w:t xml:space="preserve">  </w:t>
            </w:r>
            <w:r w:rsidRPr="0028255F">
              <w:rPr>
                <w:rFonts w:ascii="Arial" w:hAnsi="Arial" w:cs="Arial"/>
              </w:rPr>
              <w:t>30 March 2021</w:t>
            </w:r>
          </w:p>
          <w:p w:rsidR="00132B8B" w:rsidRDefault="00132B8B" w:rsidP="00132B8B">
            <w:pPr>
              <w:rPr>
                <w:rFonts w:ascii="Arial" w:hAnsi="Arial" w:cs="Arial"/>
                <w:b/>
              </w:rPr>
            </w:pPr>
          </w:p>
          <w:p w:rsidR="00132B8B" w:rsidRDefault="00132B8B" w:rsidP="00132B8B">
            <w:r>
              <w:rPr>
                <w:rFonts w:ascii="Arial" w:hAnsi="Arial" w:cs="Arial"/>
                <w:b/>
              </w:rPr>
              <w:t xml:space="preserve">Author:  </w:t>
            </w:r>
            <w:r w:rsidRPr="00D256E2">
              <w:rPr>
                <w:rFonts w:ascii="Arial" w:hAnsi="Arial" w:cs="Arial"/>
              </w:rPr>
              <w:t>Debby Jones</w:t>
            </w:r>
            <w:r>
              <w:rPr>
                <w:rFonts w:ascii="Arial" w:hAnsi="Arial" w:cs="Arial"/>
              </w:rPr>
              <w:t>,</w:t>
            </w:r>
            <w:r w:rsidRPr="00D256E2">
              <w:rPr>
                <w:rFonts w:ascii="Arial" w:hAnsi="Arial" w:cs="Arial"/>
              </w:rPr>
              <w:t xml:space="preserve"> Information Manager</w:t>
            </w:r>
            <w:r>
              <w:rPr>
                <w:rFonts w:ascii="Arial" w:hAnsi="Arial" w:cs="Arial"/>
                <w:b/>
              </w:rPr>
              <w:t xml:space="preserve"> / </w:t>
            </w:r>
            <w:r w:rsidRPr="00132B8B">
              <w:rPr>
                <w:rFonts w:ascii="Arial" w:hAnsi="Arial" w:cs="Arial"/>
              </w:rPr>
              <w:t>Data Protection Officer</w:t>
            </w:r>
            <w:r>
              <w:rPr>
                <w:rFonts w:ascii="Arial" w:hAnsi="Arial" w:cs="Arial"/>
                <w:b/>
              </w:rPr>
              <w:t xml:space="preserve"> </w:t>
            </w:r>
          </w:p>
          <w:p w:rsidR="00132B8B" w:rsidRDefault="00132B8B" w:rsidP="00132B8B"/>
          <w:p w:rsidR="00132B8B" w:rsidRDefault="00132B8B" w:rsidP="00132B8B"/>
        </w:tc>
      </w:tr>
    </w:tbl>
    <w:p w:rsidR="00132B8B" w:rsidRDefault="00132B8B"/>
    <w:p w:rsidR="00132B8B" w:rsidRDefault="00132B8B"/>
    <w:p w:rsidR="00132B8B" w:rsidRDefault="00132B8B"/>
    <w:p w:rsidR="00132B8B" w:rsidRDefault="00132B8B"/>
    <w:p w:rsidR="00132B8B" w:rsidRDefault="00132B8B"/>
    <w:p w:rsidR="00132B8B" w:rsidRDefault="00132B8B"/>
    <w:p w:rsidR="00132B8B" w:rsidRDefault="00132B8B"/>
    <w:p w:rsidR="00132B8B" w:rsidRDefault="00132B8B"/>
    <w:p w:rsidR="00132B8B" w:rsidRDefault="00132B8B"/>
    <w:p w:rsidR="00132B8B" w:rsidRDefault="00132B8B"/>
    <w:p w:rsidR="00203AFC" w:rsidRPr="0046543A" w:rsidRDefault="00203AFC" w:rsidP="00203AFC">
      <w:pPr>
        <w:rPr>
          <w:rFonts w:ascii="Arial" w:hAnsi="Arial" w:cs="Arial"/>
          <w:b/>
          <w:sz w:val="28"/>
          <w:szCs w:val="28"/>
        </w:rPr>
      </w:pPr>
      <w:r w:rsidRPr="0046543A">
        <w:rPr>
          <w:rFonts w:ascii="Arial" w:hAnsi="Arial" w:cs="Arial"/>
          <w:b/>
          <w:sz w:val="28"/>
          <w:szCs w:val="28"/>
        </w:rPr>
        <w:t xml:space="preserve">Freedom of Information </w:t>
      </w:r>
      <w:r>
        <w:rPr>
          <w:rFonts w:ascii="Arial" w:hAnsi="Arial" w:cs="Arial"/>
          <w:b/>
          <w:sz w:val="28"/>
          <w:szCs w:val="28"/>
        </w:rPr>
        <w:t xml:space="preserve">(FOI) </w:t>
      </w:r>
      <w:r w:rsidRPr="0046543A">
        <w:rPr>
          <w:rFonts w:ascii="Arial" w:hAnsi="Arial" w:cs="Arial"/>
          <w:b/>
          <w:sz w:val="28"/>
          <w:szCs w:val="28"/>
        </w:rPr>
        <w:t>– Weekly return</w:t>
      </w:r>
    </w:p>
    <w:p w:rsidR="00203AFC" w:rsidRDefault="00203AFC" w:rsidP="00203AFC">
      <w:r w:rsidRPr="00662CE0">
        <w:rPr>
          <w:rFonts w:ascii="Arial" w:hAnsi="Arial" w:cs="Arial"/>
          <w:b/>
        </w:rPr>
        <w:t xml:space="preserve">Reporting period </w:t>
      </w:r>
      <w:r>
        <w:rPr>
          <w:rFonts w:ascii="Arial" w:hAnsi="Arial" w:cs="Arial"/>
          <w:b/>
        </w:rPr>
        <w:t xml:space="preserve">week ending </w:t>
      </w:r>
      <w:r w:rsidR="006970D2">
        <w:rPr>
          <w:rFonts w:ascii="Arial" w:hAnsi="Arial" w:cs="Arial"/>
          <w:b/>
        </w:rPr>
        <w:t xml:space="preserve">01 January 2021 to 19 March 2021 </w:t>
      </w:r>
      <w:r>
        <w:rPr>
          <w:rFonts w:ascii="Arial" w:hAnsi="Arial" w:cs="Arial"/>
          <w:b/>
        </w:rPr>
        <w:t xml:space="preserve"> </w:t>
      </w:r>
    </w:p>
    <w:p w:rsidR="00203AFC" w:rsidRPr="00203AFC" w:rsidRDefault="00905055" w:rsidP="00203AFC">
      <w:r>
        <w:rPr>
          <w:noProof/>
          <w:lang w:eastAsia="en-GB"/>
        </w:rPr>
        <w:drawing>
          <wp:inline distT="0" distB="0" distL="0" distR="0" wp14:anchorId="7586AFB2" wp14:editId="4B0F3441">
            <wp:extent cx="6134100" cy="2886710"/>
            <wp:effectExtent l="0" t="0" r="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AFC" w:rsidRPr="00203AFC" w:rsidRDefault="007A2D38" w:rsidP="00203AFC">
      <w:r>
        <w:rPr>
          <w:noProof/>
          <w:lang w:eastAsia="en-GB"/>
        </w:rPr>
        <w:drawing>
          <wp:inline distT="0" distB="0" distL="0" distR="0" wp14:anchorId="21546D5E" wp14:editId="3EF47B20">
            <wp:extent cx="6134100" cy="2451100"/>
            <wp:effectExtent l="0" t="0" r="0" b="63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3AFC" w:rsidRPr="00203AFC" w:rsidRDefault="00203AFC" w:rsidP="00203AFC">
      <w:pPr>
        <w:shd w:val="clear" w:color="auto" w:fill="FFFFFF" w:themeFill="background1"/>
        <w:jc w:val="both"/>
        <w:rPr>
          <w:rFonts w:ascii="Arial" w:hAnsi="Arial" w:cs="Arial"/>
          <w:b/>
        </w:rPr>
      </w:pPr>
      <w:r w:rsidRPr="00203AFC">
        <w:rPr>
          <w:rFonts w:ascii="Arial" w:hAnsi="Arial" w:cs="Arial"/>
          <w:b/>
        </w:rPr>
        <w:t>Notes:</w:t>
      </w:r>
    </w:p>
    <w:p w:rsidR="00203AFC" w:rsidRDefault="00203AFC" w:rsidP="00203AFC">
      <w:pPr>
        <w:shd w:val="clear" w:color="auto" w:fill="FFFFFF" w:themeFill="background1"/>
        <w:jc w:val="both"/>
        <w:rPr>
          <w:rFonts w:ascii="Arial" w:hAnsi="Arial" w:cs="Arial"/>
        </w:rPr>
      </w:pPr>
    </w:p>
    <w:p w:rsidR="00203AFC" w:rsidRDefault="00203AFC" w:rsidP="00203AFC">
      <w:pPr>
        <w:pStyle w:val="ListParagraph"/>
        <w:numPr>
          <w:ilvl w:val="0"/>
          <w:numId w:val="1"/>
        </w:numPr>
        <w:shd w:val="clear" w:color="auto" w:fill="FFFFFF" w:themeFill="background1"/>
        <w:jc w:val="both"/>
        <w:rPr>
          <w:rFonts w:ascii="Arial" w:hAnsi="Arial" w:cs="Arial"/>
        </w:rPr>
      </w:pPr>
      <w:r w:rsidRPr="00B83C8C">
        <w:rPr>
          <w:rFonts w:ascii="Arial" w:hAnsi="Arial" w:cs="Arial"/>
        </w:rPr>
        <w:t xml:space="preserve">The above charts illustrate </w:t>
      </w:r>
      <w:r w:rsidR="007A2D38">
        <w:rPr>
          <w:rFonts w:ascii="Arial" w:hAnsi="Arial" w:cs="Arial"/>
        </w:rPr>
        <w:t xml:space="preserve">fluctuating levels of demand during the reporting period. </w:t>
      </w:r>
      <w:r w:rsidRPr="00B83C8C">
        <w:rPr>
          <w:rFonts w:ascii="Arial" w:hAnsi="Arial" w:cs="Arial"/>
        </w:rPr>
        <w:t xml:space="preserve"> </w:t>
      </w:r>
      <w:r w:rsidR="007A2D38">
        <w:rPr>
          <w:rFonts w:ascii="Arial" w:hAnsi="Arial" w:cs="Arial"/>
        </w:rPr>
        <w:t xml:space="preserve">However they show a relatively consistent level of completion rates. </w:t>
      </w:r>
    </w:p>
    <w:p w:rsidR="00E07773" w:rsidRDefault="00E07773" w:rsidP="00E07773">
      <w:pPr>
        <w:pStyle w:val="ListParagraph"/>
        <w:shd w:val="clear" w:color="auto" w:fill="FFFFFF" w:themeFill="background1"/>
        <w:jc w:val="both"/>
        <w:rPr>
          <w:rFonts w:ascii="Arial" w:hAnsi="Arial" w:cs="Arial"/>
        </w:rPr>
      </w:pPr>
    </w:p>
    <w:p w:rsidR="007A2D38" w:rsidRDefault="007A2D38" w:rsidP="00203AFC">
      <w:pPr>
        <w:pStyle w:val="ListParagraph"/>
        <w:numPr>
          <w:ilvl w:val="0"/>
          <w:numId w:val="1"/>
        </w:numPr>
        <w:shd w:val="clear" w:color="auto" w:fill="FFFFFF" w:themeFill="background1"/>
        <w:jc w:val="both"/>
        <w:rPr>
          <w:rFonts w:ascii="Arial" w:hAnsi="Arial" w:cs="Arial"/>
        </w:rPr>
      </w:pPr>
      <w:r>
        <w:rPr>
          <w:rFonts w:ascii="Arial" w:hAnsi="Arial" w:cs="Arial"/>
        </w:rPr>
        <w:t xml:space="preserve">During the current reporting period there were a total of </w:t>
      </w:r>
      <w:r w:rsidRPr="007A2D38">
        <w:rPr>
          <w:rFonts w:ascii="Arial" w:hAnsi="Arial" w:cs="Arial"/>
          <w:b/>
        </w:rPr>
        <w:t>223</w:t>
      </w:r>
      <w:r>
        <w:rPr>
          <w:rFonts w:ascii="Arial" w:hAnsi="Arial" w:cs="Arial"/>
        </w:rPr>
        <w:t xml:space="preserve"> requests received compared to </w:t>
      </w:r>
      <w:r w:rsidRPr="007A2D38">
        <w:rPr>
          <w:rFonts w:ascii="Arial" w:hAnsi="Arial" w:cs="Arial"/>
          <w:b/>
        </w:rPr>
        <w:t xml:space="preserve">192 </w:t>
      </w:r>
      <w:r>
        <w:rPr>
          <w:rFonts w:ascii="Arial" w:hAnsi="Arial" w:cs="Arial"/>
        </w:rPr>
        <w:t xml:space="preserve">which were closed. This equates to an average of </w:t>
      </w:r>
      <w:r w:rsidR="002A6107" w:rsidRPr="002A6107">
        <w:rPr>
          <w:rFonts w:ascii="Arial" w:hAnsi="Arial" w:cs="Arial"/>
          <w:b/>
        </w:rPr>
        <w:t>2</w:t>
      </w:r>
      <w:r w:rsidR="002A6107">
        <w:rPr>
          <w:rFonts w:ascii="Arial" w:hAnsi="Arial" w:cs="Arial"/>
          <w:b/>
        </w:rPr>
        <w:t>0.2</w:t>
      </w:r>
      <w:r w:rsidRPr="002A6107">
        <w:rPr>
          <w:rFonts w:ascii="Arial" w:hAnsi="Arial" w:cs="Arial"/>
        </w:rPr>
        <w:t xml:space="preserve"> </w:t>
      </w:r>
      <w:r>
        <w:rPr>
          <w:rFonts w:ascii="Arial" w:hAnsi="Arial" w:cs="Arial"/>
        </w:rPr>
        <w:t xml:space="preserve">requests per week being received compared to an average of </w:t>
      </w:r>
      <w:r w:rsidR="002A6107" w:rsidRPr="002A6107">
        <w:rPr>
          <w:rFonts w:ascii="Arial" w:hAnsi="Arial" w:cs="Arial"/>
          <w:b/>
        </w:rPr>
        <w:t>17.4</w:t>
      </w:r>
      <w:r>
        <w:rPr>
          <w:rFonts w:ascii="Arial" w:hAnsi="Arial" w:cs="Arial"/>
        </w:rPr>
        <w:t xml:space="preserve"> requests per week being closed. </w:t>
      </w:r>
      <w:r w:rsidR="002A6107">
        <w:rPr>
          <w:rFonts w:ascii="Arial" w:hAnsi="Arial" w:cs="Arial"/>
        </w:rPr>
        <w:t xml:space="preserve">These figures have increased compared to the average weekly figures from the previous reporting period ie at that time an average of </w:t>
      </w:r>
      <w:r w:rsidR="002A6107" w:rsidRPr="002A6107">
        <w:rPr>
          <w:rFonts w:ascii="Arial" w:hAnsi="Arial" w:cs="Arial"/>
          <w:b/>
        </w:rPr>
        <w:t>14.7</w:t>
      </w:r>
      <w:r w:rsidR="002A6107">
        <w:rPr>
          <w:rFonts w:ascii="Arial" w:hAnsi="Arial" w:cs="Arial"/>
        </w:rPr>
        <w:t xml:space="preserve"> requests per week being received and an average of </w:t>
      </w:r>
      <w:r w:rsidR="002A6107" w:rsidRPr="002A6107">
        <w:rPr>
          <w:rFonts w:ascii="Arial" w:hAnsi="Arial" w:cs="Arial"/>
          <w:b/>
        </w:rPr>
        <w:t>16.07</w:t>
      </w:r>
      <w:r w:rsidR="002A6107">
        <w:rPr>
          <w:rFonts w:ascii="Arial" w:hAnsi="Arial" w:cs="Arial"/>
        </w:rPr>
        <w:t xml:space="preserve"> requests per week being closed. </w:t>
      </w:r>
    </w:p>
    <w:p w:rsidR="000946BB" w:rsidRPr="00B83C8C" w:rsidRDefault="000946BB" w:rsidP="000946BB">
      <w:pPr>
        <w:pStyle w:val="ListParagraph"/>
        <w:shd w:val="clear" w:color="auto" w:fill="FFFFFF" w:themeFill="background1"/>
        <w:jc w:val="both"/>
        <w:rPr>
          <w:rFonts w:ascii="Arial" w:hAnsi="Arial" w:cs="Arial"/>
        </w:rPr>
      </w:pPr>
    </w:p>
    <w:p w:rsidR="007A2D38" w:rsidRPr="007A2D38" w:rsidRDefault="007A2D38" w:rsidP="007A2D38">
      <w:pPr>
        <w:pStyle w:val="ListParagraph"/>
        <w:rPr>
          <w:rFonts w:ascii="Arial" w:hAnsi="Arial" w:cs="Arial"/>
        </w:rPr>
      </w:pPr>
    </w:p>
    <w:p w:rsidR="007A2D38" w:rsidRPr="007A2D38" w:rsidRDefault="007A2D38" w:rsidP="007A2D38">
      <w:pPr>
        <w:shd w:val="clear" w:color="auto" w:fill="FFFFFF" w:themeFill="background1"/>
        <w:jc w:val="both"/>
        <w:rPr>
          <w:rFonts w:ascii="Arial" w:hAnsi="Arial" w:cs="Arial"/>
        </w:rPr>
      </w:pPr>
    </w:p>
    <w:p w:rsidR="00530C4A" w:rsidRPr="00CB64AC" w:rsidRDefault="00530C4A" w:rsidP="00530C4A">
      <w:pPr>
        <w:rPr>
          <w:rFonts w:ascii="Arial" w:hAnsi="Arial" w:cs="Arial"/>
          <w:b/>
          <w:sz w:val="28"/>
          <w:szCs w:val="28"/>
        </w:rPr>
      </w:pPr>
      <w:r w:rsidRPr="00CB64AC">
        <w:rPr>
          <w:rFonts w:ascii="Arial" w:hAnsi="Arial" w:cs="Arial"/>
          <w:b/>
          <w:sz w:val="28"/>
          <w:szCs w:val="28"/>
        </w:rPr>
        <w:t>Data Protection</w:t>
      </w:r>
      <w:r>
        <w:rPr>
          <w:rFonts w:ascii="Arial" w:hAnsi="Arial" w:cs="Arial"/>
          <w:b/>
          <w:sz w:val="28"/>
          <w:szCs w:val="28"/>
        </w:rPr>
        <w:t xml:space="preserve"> (DP)</w:t>
      </w:r>
      <w:r w:rsidRPr="00CB64AC">
        <w:rPr>
          <w:rFonts w:ascii="Arial" w:hAnsi="Arial" w:cs="Arial"/>
          <w:b/>
          <w:sz w:val="28"/>
          <w:szCs w:val="28"/>
        </w:rPr>
        <w:t xml:space="preserve"> </w:t>
      </w:r>
      <w:r>
        <w:rPr>
          <w:rFonts w:ascii="Arial" w:hAnsi="Arial" w:cs="Arial"/>
          <w:b/>
          <w:sz w:val="28"/>
          <w:szCs w:val="28"/>
        </w:rPr>
        <w:t>–</w:t>
      </w:r>
      <w:r w:rsidRPr="00CB64AC">
        <w:rPr>
          <w:rFonts w:ascii="Arial" w:hAnsi="Arial" w:cs="Arial"/>
          <w:b/>
          <w:sz w:val="28"/>
          <w:szCs w:val="28"/>
        </w:rPr>
        <w:t xml:space="preserve"> Weekly return</w:t>
      </w:r>
    </w:p>
    <w:p w:rsidR="00530C4A" w:rsidRDefault="00530C4A" w:rsidP="00530C4A">
      <w:r w:rsidRPr="00662CE0">
        <w:rPr>
          <w:rFonts w:ascii="Arial" w:hAnsi="Arial" w:cs="Arial"/>
          <w:b/>
        </w:rPr>
        <w:t xml:space="preserve">Reporting period </w:t>
      </w:r>
      <w:r>
        <w:rPr>
          <w:rFonts w:ascii="Arial" w:hAnsi="Arial" w:cs="Arial"/>
          <w:b/>
        </w:rPr>
        <w:t xml:space="preserve">week ending </w:t>
      </w:r>
      <w:r w:rsidR="00BF01C1">
        <w:rPr>
          <w:rFonts w:ascii="Arial" w:hAnsi="Arial" w:cs="Arial"/>
          <w:b/>
        </w:rPr>
        <w:t>01 January 2021 to 19 March 2021</w:t>
      </w:r>
    </w:p>
    <w:tbl>
      <w:tblPr>
        <w:tblW w:w="9789" w:type="dxa"/>
        <w:tblInd w:w="-662" w:type="dxa"/>
        <w:tblLook w:val="04A0" w:firstRow="1" w:lastRow="0" w:firstColumn="1" w:lastColumn="0" w:noHBand="0" w:noVBand="1"/>
      </w:tblPr>
      <w:tblGrid>
        <w:gridCol w:w="1162"/>
        <w:gridCol w:w="892"/>
        <w:gridCol w:w="847"/>
        <w:gridCol w:w="1025"/>
        <w:gridCol w:w="1005"/>
        <w:gridCol w:w="1413"/>
        <w:gridCol w:w="1123"/>
        <w:gridCol w:w="749"/>
        <w:gridCol w:w="771"/>
        <w:gridCol w:w="802"/>
      </w:tblGrid>
      <w:tr w:rsidR="00BF406C" w:rsidRPr="00BF01C1" w:rsidTr="00BF406C">
        <w:trPr>
          <w:trHeight w:val="58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W/E</w:t>
            </w:r>
          </w:p>
        </w:tc>
        <w:tc>
          <w:tcPr>
            <w:tcW w:w="892" w:type="dxa"/>
            <w:tcBorders>
              <w:top w:val="nil"/>
              <w:left w:val="nil"/>
              <w:bottom w:val="nil"/>
              <w:right w:val="nil"/>
            </w:tcBorders>
            <w:shd w:val="clear" w:color="auto" w:fill="9CC2E5" w:themeFill="accent1" w:themeFillTint="99"/>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Subject Access</w:t>
            </w:r>
          </w:p>
        </w:tc>
        <w:tc>
          <w:tcPr>
            <w:tcW w:w="847" w:type="dxa"/>
            <w:tcBorders>
              <w:top w:val="nil"/>
              <w:left w:val="nil"/>
              <w:bottom w:val="nil"/>
              <w:right w:val="nil"/>
            </w:tcBorders>
            <w:shd w:val="clear" w:color="auto" w:fill="9CC2E5" w:themeFill="accent1"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 xml:space="preserve">Court Order </w:t>
            </w:r>
          </w:p>
        </w:tc>
        <w:tc>
          <w:tcPr>
            <w:tcW w:w="1025" w:type="dxa"/>
            <w:tcBorders>
              <w:top w:val="nil"/>
              <w:left w:val="nil"/>
              <w:bottom w:val="nil"/>
              <w:right w:val="nil"/>
            </w:tcBorders>
            <w:shd w:val="clear" w:color="auto" w:fill="9CC2E5" w:themeFill="accent1"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CAFCASS</w:t>
            </w:r>
          </w:p>
        </w:tc>
        <w:tc>
          <w:tcPr>
            <w:tcW w:w="1005" w:type="dxa"/>
            <w:tcBorders>
              <w:top w:val="nil"/>
              <w:left w:val="nil"/>
              <w:bottom w:val="nil"/>
              <w:right w:val="nil"/>
            </w:tcBorders>
            <w:shd w:val="clear" w:color="auto" w:fill="9CC2E5" w:themeFill="accent1"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LLAMAU</w:t>
            </w:r>
          </w:p>
        </w:tc>
        <w:tc>
          <w:tcPr>
            <w:tcW w:w="1413" w:type="dxa"/>
            <w:tcBorders>
              <w:top w:val="nil"/>
              <w:left w:val="nil"/>
              <w:bottom w:val="nil"/>
              <w:right w:val="nil"/>
            </w:tcBorders>
            <w:shd w:val="clear" w:color="auto" w:fill="9CC2E5" w:themeFill="accent1"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Safeguarding</w:t>
            </w:r>
          </w:p>
        </w:tc>
        <w:tc>
          <w:tcPr>
            <w:tcW w:w="1123" w:type="dxa"/>
            <w:tcBorders>
              <w:top w:val="nil"/>
              <w:left w:val="nil"/>
              <w:bottom w:val="nil"/>
              <w:right w:val="nil"/>
            </w:tcBorders>
            <w:shd w:val="clear" w:color="auto" w:fill="9CC2E5" w:themeFill="accent1"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 xml:space="preserve">Probation </w:t>
            </w:r>
          </w:p>
        </w:tc>
        <w:tc>
          <w:tcPr>
            <w:tcW w:w="749" w:type="dxa"/>
            <w:tcBorders>
              <w:top w:val="nil"/>
              <w:left w:val="nil"/>
              <w:bottom w:val="nil"/>
              <w:right w:val="nil"/>
            </w:tcBorders>
            <w:shd w:val="clear" w:color="auto" w:fill="9CC2E5" w:themeFill="accent1"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 xml:space="preserve">Other </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01C1">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Total</w:t>
            </w:r>
          </w:p>
        </w:tc>
        <w:tc>
          <w:tcPr>
            <w:tcW w:w="802" w:type="dxa"/>
            <w:tcBorders>
              <w:top w:val="nil"/>
              <w:left w:val="nil"/>
              <w:bottom w:val="nil"/>
              <w:right w:val="nil"/>
            </w:tcBorders>
            <w:shd w:val="clear" w:color="auto" w:fill="F4B083" w:themeFill="accent2" w:themeFillTint="99"/>
          </w:tcPr>
          <w:p w:rsidR="00BF406C" w:rsidRPr="00BF01C1" w:rsidRDefault="00BF406C" w:rsidP="00BF01C1">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Total closed </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08.01.21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5</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4</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17</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19</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18</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11</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77</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65</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15.01.21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12</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7</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15</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10</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22</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16</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83</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53</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22.01.21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9</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4</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12</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34</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13</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76</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86</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29.01.21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12</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5</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13</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6</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18</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29</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15</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98</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78</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05.02.21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13</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8</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6</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25</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32</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20</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107</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65</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12.02.21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7</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7</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14</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0</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16</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19</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12</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75</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65</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19.02.21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10</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10</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15</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0</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22</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10</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5</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72</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102</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26.02.21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10</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5</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8</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23</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13</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20</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82</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76</w:t>
            </w:r>
          </w:p>
        </w:tc>
      </w:tr>
      <w:tr w:rsidR="00BF406C" w:rsidRPr="00BF01C1" w:rsidTr="00BF406C">
        <w:trPr>
          <w:trHeight w:val="290"/>
        </w:trPr>
        <w:tc>
          <w:tcPr>
            <w:tcW w:w="1162" w:type="dxa"/>
            <w:tcBorders>
              <w:top w:val="nil"/>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05.03.21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12</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7</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12</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19</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31</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10</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94</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92</w:t>
            </w:r>
          </w:p>
        </w:tc>
      </w:tr>
      <w:tr w:rsidR="00BF406C" w:rsidRPr="00BF01C1" w:rsidTr="00BF406C">
        <w:trPr>
          <w:trHeight w:val="290"/>
        </w:trPr>
        <w:tc>
          <w:tcPr>
            <w:tcW w:w="1162" w:type="dxa"/>
            <w:tcBorders>
              <w:top w:val="nil"/>
              <w:left w:val="nil"/>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12.03.21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11</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9</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12</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13</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17</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8</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73</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36</w:t>
            </w:r>
          </w:p>
        </w:tc>
      </w:tr>
      <w:tr w:rsidR="00BF406C" w:rsidRPr="00BF01C1" w:rsidTr="00BF406C">
        <w:trPr>
          <w:trHeight w:val="290"/>
        </w:trPr>
        <w:tc>
          <w:tcPr>
            <w:tcW w:w="1162" w:type="dxa"/>
            <w:tcBorders>
              <w:top w:val="nil"/>
              <w:left w:val="nil"/>
              <w:bottom w:val="single" w:sz="4" w:space="0" w:color="auto"/>
              <w:right w:val="nil"/>
            </w:tcBorders>
            <w:shd w:val="clear" w:color="auto" w:fill="9CC2E5" w:themeFill="accent1" w:themeFillTint="99"/>
            <w:noWrap/>
            <w:vAlign w:val="bottom"/>
            <w:hideMark/>
          </w:tcPr>
          <w:p w:rsidR="00BF406C" w:rsidRPr="00BF01C1" w:rsidRDefault="00BF406C" w:rsidP="00BF406C">
            <w:pPr>
              <w:spacing w:after="0" w:line="240" w:lineRule="auto"/>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19.03.21</w:t>
            </w:r>
          </w:p>
        </w:tc>
        <w:tc>
          <w:tcPr>
            <w:tcW w:w="892"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9</w:t>
            </w:r>
          </w:p>
        </w:tc>
        <w:tc>
          <w:tcPr>
            <w:tcW w:w="847"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5</w:t>
            </w:r>
          </w:p>
        </w:tc>
        <w:tc>
          <w:tcPr>
            <w:tcW w:w="102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10</w:t>
            </w:r>
          </w:p>
        </w:tc>
        <w:tc>
          <w:tcPr>
            <w:tcW w:w="1005"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3</w:t>
            </w:r>
          </w:p>
        </w:tc>
        <w:tc>
          <w:tcPr>
            <w:tcW w:w="141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22</w:t>
            </w:r>
          </w:p>
        </w:tc>
        <w:tc>
          <w:tcPr>
            <w:tcW w:w="1123"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25</w:t>
            </w:r>
          </w:p>
        </w:tc>
        <w:tc>
          <w:tcPr>
            <w:tcW w:w="749" w:type="dxa"/>
            <w:tcBorders>
              <w:top w:val="nil"/>
              <w:left w:val="nil"/>
              <w:bottom w:val="nil"/>
              <w:right w:val="nil"/>
            </w:tcBorders>
            <w:shd w:val="clear" w:color="auto" w:fill="DEEAF6" w:themeFill="accent1" w:themeFillTint="33"/>
            <w:noWrap/>
            <w:vAlign w:val="bottom"/>
            <w:hideMark/>
          </w:tcPr>
          <w:p w:rsidR="00BF406C" w:rsidRPr="00BF01C1" w:rsidRDefault="00BF406C" w:rsidP="00BF406C">
            <w:pPr>
              <w:spacing w:after="0" w:line="240" w:lineRule="auto"/>
              <w:jc w:val="right"/>
              <w:rPr>
                <w:rFonts w:ascii="Calibri" w:eastAsia="Times New Roman" w:hAnsi="Calibri" w:cs="Calibri"/>
                <w:color w:val="000000"/>
                <w:lang w:eastAsia="en-GB"/>
              </w:rPr>
            </w:pPr>
            <w:r w:rsidRPr="00BF01C1">
              <w:rPr>
                <w:rFonts w:ascii="Calibri" w:eastAsia="Times New Roman" w:hAnsi="Calibri" w:cs="Calibri"/>
                <w:color w:val="000000"/>
                <w:lang w:eastAsia="en-GB"/>
              </w:rPr>
              <w:t>13</w:t>
            </w:r>
          </w:p>
        </w:tc>
        <w:tc>
          <w:tcPr>
            <w:tcW w:w="771" w:type="dxa"/>
            <w:tcBorders>
              <w:top w:val="nil"/>
              <w:left w:val="nil"/>
              <w:bottom w:val="nil"/>
              <w:right w:val="nil"/>
            </w:tcBorders>
            <w:shd w:val="clear" w:color="auto" w:fill="A8D08D" w:themeFill="accent6"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87</w:t>
            </w:r>
          </w:p>
        </w:tc>
        <w:tc>
          <w:tcPr>
            <w:tcW w:w="802" w:type="dxa"/>
            <w:tcBorders>
              <w:top w:val="nil"/>
              <w:left w:val="nil"/>
              <w:bottom w:val="nil"/>
              <w:right w:val="nil"/>
            </w:tcBorders>
            <w:shd w:val="clear" w:color="auto" w:fill="F4B083" w:themeFill="accent2" w:themeFillTint="99"/>
            <w:vAlign w:val="bottom"/>
          </w:tcPr>
          <w:p w:rsidR="00BF406C" w:rsidRPr="00BF406C" w:rsidRDefault="00BF406C" w:rsidP="00BF406C">
            <w:pPr>
              <w:spacing w:after="0" w:line="240" w:lineRule="auto"/>
              <w:jc w:val="right"/>
              <w:rPr>
                <w:rFonts w:ascii="Calibri" w:hAnsi="Calibri" w:cs="Calibri"/>
                <w:b/>
                <w:color w:val="000000"/>
              </w:rPr>
            </w:pPr>
            <w:r w:rsidRPr="00BF406C">
              <w:rPr>
                <w:rFonts w:ascii="Calibri" w:hAnsi="Calibri" w:cs="Calibri"/>
                <w:b/>
                <w:color w:val="000000"/>
              </w:rPr>
              <w:t>101</w:t>
            </w:r>
          </w:p>
        </w:tc>
      </w:tr>
      <w:tr w:rsidR="00BF406C" w:rsidRPr="00BF01C1" w:rsidTr="006949C2">
        <w:trPr>
          <w:trHeight w:val="290"/>
        </w:trPr>
        <w:tc>
          <w:tcPr>
            <w:tcW w:w="1162" w:type="dxa"/>
            <w:tcBorders>
              <w:top w:val="single" w:sz="4" w:space="0" w:color="auto"/>
              <w:left w:val="nil"/>
              <w:bottom w:val="nil"/>
              <w:right w:val="nil"/>
            </w:tcBorders>
            <w:shd w:val="clear" w:color="auto" w:fill="9CC2E5" w:themeFill="accent1"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p>
        </w:tc>
        <w:tc>
          <w:tcPr>
            <w:tcW w:w="892" w:type="dxa"/>
            <w:tcBorders>
              <w:top w:val="nil"/>
              <w:left w:val="nil"/>
              <w:bottom w:val="nil"/>
              <w:right w:val="nil"/>
            </w:tcBorders>
            <w:shd w:val="clear" w:color="auto" w:fill="FFD966" w:themeFill="accent4"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102</w:t>
            </w:r>
          </w:p>
        </w:tc>
        <w:tc>
          <w:tcPr>
            <w:tcW w:w="847" w:type="dxa"/>
            <w:tcBorders>
              <w:top w:val="nil"/>
              <w:left w:val="nil"/>
              <w:bottom w:val="nil"/>
              <w:right w:val="nil"/>
            </w:tcBorders>
            <w:shd w:val="clear" w:color="auto" w:fill="FFD966" w:themeFill="accent4"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70</w:t>
            </w:r>
          </w:p>
        </w:tc>
        <w:tc>
          <w:tcPr>
            <w:tcW w:w="1025" w:type="dxa"/>
            <w:tcBorders>
              <w:top w:val="nil"/>
              <w:left w:val="nil"/>
              <w:bottom w:val="nil"/>
              <w:right w:val="nil"/>
            </w:tcBorders>
            <w:shd w:val="clear" w:color="auto" w:fill="FFD966" w:themeFill="accent4"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131</w:t>
            </w:r>
          </w:p>
        </w:tc>
        <w:tc>
          <w:tcPr>
            <w:tcW w:w="1005" w:type="dxa"/>
            <w:tcBorders>
              <w:top w:val="nil"/>
              <w:left w:val="nil"/>
              <w:bottom w:val="nil"/>
              <w:right w:val="nil"/>
            </w:tcBorders>
            <w:shd w:val="clear" w:color="auto" w:fill="FFD966" w:themeFill="accent4"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29</w:t>
            </w:r>
          </w:p>
        </w:tc>
        <w:tc>
          <w:tcPr>
            <w:tcW w:w="1413" w:type="dxa"/>
            <w:tcBorders>
              <w:top w:val="nil"/>
              <w:left w:val="nil"/>
              <w:bottom w:val="nil"/>
              <w:right w:val="nil"/>
            </w:tcBorders>
            <w:shd w:val="clear" w:color="auto" w:fill="FFD966" w:themeFill="accent4"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199</w:t>
            </w:r>
          </w:p>
        </w:tc>
        <w:tc>
          <w:tcPr>
            <w:tcW w:w="1123" w:type="dxa"/>
            <w:tcBorders>
              <w:top w:val="nil"/>
              <w:left w:val="nil"/>
              <w:bottom w:val="nil"/>
              <w:right w:val="nil"/>
            </w:tcBorders>
            <w:shd w:val="clear" w:color="auto" w:fill="FFD966" w:themeFill="accent4"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250</w:t>
            </w:r>
          </w:p>
        </w:tc>
        <w:tc>
          <w:tcPr>
            <w:tcW w:w="749" w:type="dxa"/>
            <w:tcBorders>
              <w:top w:val="nil"/>
              <w:left w:val="nil"/>
              <w:bottom w:val="nil"/>
              <w:right w:val="nil"/>
            </w:tcBorders>
            <w:shd w:val="clear" w:color="auto" w:fill="FFD966" w:themeFill="accent4" w:themeFillTint="99"/>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143</w:t>
            </w:r>
          </w:p>
        </w:tc>
        <w:tc>
          <w:tcPr>
            <w:tcW w:w="771" w:type="dxa"/>
            <w:tcBorders>
              <w:top w:val="nil"/>
              <w:left w:val="nil"/>
              <w:bottom w:val="nil"/>
              <w:right w:val="nil"/>
            </w:tcBorders>
            <w:shd w:val="clear" w:color="auto" w:fill="00B0F0"/>
            <w:noWrap/>
            <w:vAlign w:val="bottom"/>
            <w:hideMark/>
          </w:tcPr>
          <w:p w:rsidR="00BF406C" w:rsidRPr="00BF01C1" w:rsidRDefault="00BF406C" w:rsidP="00BF406C">
            <w:pPr>
              <w:spacing w:after="0" w:line="240" w:lineRule="auto"/>
              <w:jc w:val="right"/>
              <w:rPr>
                <w:rFonts w:ascii="Calibri" w:eastAsia="Times New Roman" w:hAnsi="Calibri" w:cs="Calibri"/>
                <w:b/>
                <w:bCs/>
                <w:color w:val="000000"/>
                <w:lang w:eastAsia="en-GB"/>
              </w:rPr>
            </w:pPr>
            <w:r w:rsidRPr="00BF01C1">
              <w:rPr>
                <w:rFonts w:ascii="Calibri" w:eastAsia="Times New Roman" w:hAnsi="Calibri" w:cs="Calibri"/>
                <w:b/>
                <w:bCs/>
                <w:color w:val="000000"/>
                <w:lang w:eastAsia="en-GB"/>
              </w:rPr>
              <w:t>924</w:t>
            </w:r>
          </w:p>
        </w:tc>
        <w:tc>
          <w:tcPr>
            <w:tcW w:w="802" w:type="dxa"/>
            <w:tcBorders>
              <w:top w:val="nil"/>
              <w:left w:val="nil"/>
              <w:bottom w:val="nil"/>
              <w:right w:val="nil"/>
            </w:tcBorders>
            <w:shd w:val="clear" w:color="auto" w:fill="00B0F0"/>
            <w:vAlign w:val="bottom"/>
          </w:tcPr>
          <w:p w:rsidR="00BF406C" w:rsidRPr="00BF01C1" w:rsidRDefault="00BF406C" w:rsidP="00BF406C">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819</w:t>
            </w:r>
          </w:p>
        </w:tc>
      </w:tr>
    </w:tbl>
    <w:p w:rsidR="00530C4A" w:rsidRDefault="00530C4A" w:rsidP="00D20C8B">
      <w:pPr>
        <w:jc w:val="both"/>
        <w:rPr>
          <w:rFonts w:ascii="Arial" w:hAnsi="Arial" w:cs="Arial"/>
        </w:rPr>
      </w:pPr>
    </w:p>
    <w:p w:rsidR="006949C2" w:rsidRDefault="00C511FF" w:rsidP="00D20C8B">
      <w:pPr>
        <w:jc w:val="both"/>
        <w:rPr>
          <w:rFonts w:ascii="Arial" w:hAnsi="Arial" w:cs="Arial"/>
        </w:rPr>
      </w:pPr>
      <w:r>
        <w:rPr>
          <w:noProof/>
          <w:lang w:eastAsia="en-GB"/>
        </w:rPr>
        <w:drawing>
          <wp:inline distT="0" distB="0" distL="0" distR="0" wp14:anchorId="44245B82" wp14:editId="41D75EBF">
            <wp:extent cx="5099538" cy="2454275"/>
            <wp:effectExtent l="0" t="0" r="635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11FF" w:rsidRDefault="00C511FF" w:rsidP="00D20C8B">
      <w:pPr>
        <w:jc w:val="both"/>
        <w:rPr>
          <w:rFonts w:ascii="Arial" w:hAnsi="Arial" w:cs="Arial"/>
        </w:rPr>
      </w:pPr>
    </w:p>
    <w:p w:rsidR="00BF01C1" w:rsidRDefault="0048333F" w:rsidP="00D20C8B">
      <w:pPr>
        <w:jc w:val="both"/>
        <w:rPr>
          <w:rFonts w:ascii="Arial" w:hAnsi="Arial" w:cs="Arial"/>
        </w:rPr>
      </w:pPr>
      <w:r>
        <w:rPr>
          <w:noProof/>
          <w:lang w:eastAsia="en-GB"/>
        </w:rPr>
        <w:drawing>
          <wp:inline distT="0" distB="0" distL="0" distR="0" wp14:anchorId="7E5A9B07" wp14:editId="74FA4CFB">
            <wp:extent cx="5570806" cy="250825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15A8" w:rsidRDefault="008915A8" w:rsidP="00D20C8B">
      <w:pPr>
        <w:jc w:val="both"/>
        <w:rPr>
          <w:rFonts w:ascii="Arial" w:hAnsi="Arial" w:cs="Arial"/>
        </w:rPr>
      </w:pPr>
    </w:p>
    <w:p w:rsidR="0048333F" w:rsidRPr="008915A8" w:rsidRDefault="0048333F" w:rsidP="00D20C8B">
      <w:pPr>
        <w:jc w:val="both"/>
        <w:rPr>
          <w:rFonts w:ascii="Arial" w:hAnsi="Arial" w:cs="Arial"/>
          <w:b/>
        </w:rPr>
      </w:pPr>
      <w:r w:rsidRPr="008915A8">
        <w:rPr>
          <w:rFonts w:ascii="Arial" w:hAnsi="Arial" w:cs="Arial"/>
          <w:b/>
        </w:rPr>
        <w:t>Note</w:t>
      </w:r>
      <w:r w:rsidR="008915A8">
        <w:rPr>
          <w:rFonts w:ascii="Arial" w:hAnsi="Arial" w:cs="Arial"/>
          <w:b/>
        </w:rPr>
        <w:t>s</w:t>
      </w:r>
      <w:r w:rsidRPr="008915A8">
        <w:rPr>
          <w:rFonts w:ascii="Arial" w:hAnsi="Arial" w:cs="Arial"/>
          <w:b/>
        </w:rPr>
        <w:t xml:space="preserve">: </w:t>
      </w:r>
    </w:p>
    <w:p w:rsidR="0089529F" w:rsidRDefault="000A02D5" w:rsidP="0048333F">
      <w:pPr>
        <w:pStyle w:val="ListParagraph"/>
        <w:numPr>
          <w:ilvl w:val="0"/>
          <w:numId w:val="6"/>
        </w:numPr>
        <w:jc w:val="both"/>
        <w:rPr>
          <w:rFonts w:ascii="Arial" w:hAnsi="Arial" w:cs="Arial"/>
        </w:rPr>
      </w:pPr>
      <w:r>
        <w:rPr>
          <w:rFonts w:ascii="Arial" w:hAnsi="Arial" w:cs="Arial"/>
        </w:rPr>
        <w:t>During the current reporting period t</w:t>
      </w:r>
      <w:r w:rsidR="0089529F">
        <w:rPr>
          <w:rFonts w:ascii="Arial" w:hAnsi="Arial" w:cs="Arial"/>
        </w:rPr>
        <w:t xml:space="preserve">here were an average of </w:t>
      </w:r>
      <w:r w:rsidR="0089529F" w:rsidRPr="0089529F">
        <w:rPr>
          <w:rFonts w:ascii="Arial" w:hAnsi="Arial" w:cs="Arial"/>
          <w:b/>
        </w:rPr>
        <w:t>84</w:t>
      </w:r>
      <w:r w:rsidR="0089529F">
        <w:rPr>
          <w:rFonts w:ascii="Arial" w:hAnsi="Arial" w:cs="Arial"/>
        </w:rPr>
        <w:t xml:space="preserve"> </w:t>
      </w:r>
      <w:r>
        <w:rPr>
          <w:rFonts w:ascii="Arial" w:hAnsi="Arial" w:cs="Arial"/>
        </w:rPr>
        <w:t>cases a week being opened (</w:t>
      </w:r>
      <w:r w:rsidR="0089529F">
        <w:rPr>
          <w:rFonts w:ascii="Arial" w:hAnsi="Arial" w:cs="Arial"/>
        </w:rPr>
        <w:t xml:space="preserve">the average during the previous reporting period was </w:t>
      </w:r>
      <w:r w:rsidR="0089529F" w:rsidRPr="0089529F">
        <w:rPr>
          <w:rFonts w:ascii="Arial" w:hAnsi="Arial" w:cs="Arial"/>
          <w:b/>
        </w:rPr>
        <w:t xml:space="preserve">85 </w:t>
      </w:r>
      <w:r>
        <w:rPr>
          <w:rFonts w:ascii="Arial" w:hAnsi="Arial" w:cs="Arial"/>
        </w:rPr>
        <w:t>cases</w:t>
      </w:r>
      <w:r w:rsidR="0089529F">
        <w:rPr>
          <w:rFonts w:ascii="Arial" w:hAnsi="Arial" w:cs="Arial"/>
        </w:rPr>
        <w:t xml:space="preserve"> per week</w:t>
      </w:r>
      <w:r>
        <w:rPr>
          <w:rFonts w:ascii="Arial" w:hAnsi="Arial" w:cs="Arial"/>
        </w:rPr>
        <w:t>)</w:t>
      </w:r>
      <w:r w:rsidR="0089529F">
        <w:rPr>
          <w:rFonts w:ascii="Arial" w:hAnsi="Arial" w:cs="Arial"/>
        </w:rPr>
        <w:t xml:space="preserve">. </w:t>
      </w:r>
      <w:r>
        <w:rPr>
          <w:rFonts w:ascii="Arial" w:hAnsi="Arial" w:cs="Arial"/>
        </w:rPr>
        <w:t xml:space="preserve">On average there were </w:t>
      </w:r>
      <w:r w:rsidRPr="000A02D5">
        <w:rPr>
          <w:rFonts w:ascii="Arial" w:hAnsi="Arial" w:cs="Arial"/>
          <w:b/>
        </w:rPr>
        <w:t>74.4</w:t>
      </w:r>
      <w:r>
        <w:rPr>
          <w:rFonts w:ascii="Arial" w:hAnsi="Arial" w:cs="Arial"/>
        </w:rPr>
        <w:t xml:space="preserve"> cases a week being closed.  </w:t>
      </w:r>
    </w:p>
    <w:p w:rsidR="00C511FF" w:rsidRDefault="00C511FF" w:rsidP="00C511FF">
      <w:pPr>
        <w:pStyle w:val="ListParagraph"/>
        <w:jc w:val="both"/>
        <w:rPr>
          <w:rFonts w:ascii="Arial" w:hAnsi="Arial" w:cs="Arial"/>
        </w:rPr>
      </w:pPr>
    </w:p>
    <w:p w:rsidR="00C511FF" w:rsidRDefault="00C511FF" w:rsidP="00C511FF">
      <w:pPr>
        <w:pStyle w:val="ListParagraph"/>
        <w:numPr>
          <w:ilvl w:val="0"/>
          <w:numId w:val="6"/>
        </w:numPr>
        <w:jc w:val="both"/>
        <w:rPr>
          <w:rFonts w:ascii="Arial" w:hAnsi="Arial" w:cs="Arial"/>
        </w:rPr>
      </w:pPr>
      <w:r w:rsidRPr="0048333F">
        <w:rPr>
          <w:rFonts w:ascii="Arial" w:hAnsi="Arial" w:cs="Arial"/>
        </w:rPr>
        <w:t xml:space="preserve">The previous report </w:t>
      </w:r>
      <w:r>
        <w:rPr>
          <w:rFonts w:ascii="Arial" w:hAnsi="Arial" w:cs="Arial"/>
        </w:rPr>
        <w:t xml:space="preserve">(19.01.21) </w:t>
      </w:r>
      <w:r w:rsidRPr="0048333F">
        <w:rPr>
          <w:rFonts w:ascii="Arial" w:hAnsi="Arial" w:cs="Arial"/>
        </w:rPr>
        <w:t xml:space="preserve">identified a steady decrease in the number of </w:t>
      </w:r>
      <w:r>
        <w:rPr>
          <w:rFonts w:ascii="Arial" w:hAnsi="Arial" w:cs="Arial"/>
        </w:rPr>
        <w:t xml:space="preserve">cases being opened </w:t>
      </w:r>
      <w:r w:rsidRPr="0048333F">
        <w:rPr>
          <w:rFonts w:ascii="Arial" w:hAnsi="Arial" w:cs="Arial"/>
        </w:rPr>
        <w:t xml:space="preserve">up to the end of the year (2020).  Figures for December 2020 have been included in the above graph to highlight that </w:t>
      </w:r>
      <w:r>
        <w:rPr>
          <w:rFonts w:ascii="Arial" w:hAnsi="Arial" w:cs="Arial"/>
        </w:rPr>
        <w:t xml:space="preserve">case numbers </w:t>
      </w:r>
      <w:r w:rsidRPr="0048333F">
        <w:rPr>
          <w:rFonts w:ascii="Arial" w:hAnsi="Arial" w:cs="Arial"/>
        </w:rPr>
        <w:t xml:space="preserve">steadily increased in January from the December low. </w:t>
      </w:r>
    </w:p>
    <w:p w:rsidR="008915A8" w:rsidRPr="0048333F" w:rsidRDefault="008915A8" w:rsidP="00A221C2">
      <w:pPr>
        <w:pStyle w:val="ListParagraph"/>
        <w:jc w:val="both"/>
        <w:rPr>
          <w:rFonts w:ascii="Arial" w:hAnsi="Arial" w:cs="Arial"/>
        </w:rPr>
      </w:pPr>
    </w:p>
    <w:p w:rsidR="00BF01C1" w:rsidRDefault="000A02D5" w:rsidP="00D20C8B">
      <w:pPr>
        <w:jc w:val="both"/>
        <w:rPr>
          <w:rFonts w:ascii="Arial" w:hAnsi="Arial" w:cs="Arial"/>
        </w:rPr>
      </w:pPr>
      <w:r>
        <w:rPr>
          <w:noProof/>
          <w:lang w:eastAsia="en-GB"/>
        </w:rPr>
        <w:drawing>
          <wp:anchor distT="0" distB="0" distL="114300" distR="114300" simplePos="0" relativeHeight="251658240" behindDoc="1" locked="0" layoutInCell="1" allowOverlap="1" wp14:anchorId="416839B0" wp14:editId="5679DC31">
            <wp:simplePos x="0" y="0"/>
            <wp:positionH relativeFrom="column">
              <wp:posOffset>501650</wp:posOffset>
            </wp:positionH>
            <wp:positionV relativeFrom="paragraph">
              <wp:posOffset>76200</wp:posOffset>
            </wp:positionV>
            <wp:extent cx="4572000" cy="27432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8333F">
        <w:rPr>
          <w:rFonts w:ascii="Arial" w:hAnsi="Arial" w:cs="Arial"/>
        </w:rPr>
        <w:t xml:space="preserve"> </w:t>
      </w:r>
    </w:p>
    <w:p w:rsidR="009C013C" w:rsidRDefault="009C013C"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0A02D5" w:rsidRDefault="000A02D5" w:rsidP="00D20C8B">
      <w:pPr>
        <w:jc w:val="both"/>
        <w:rPr>
          <w:rFonts w:ascii="Arial" w:hAnsi="Arial" w:cs="Arial"/>
        </w:rPr>
      </w:pPr>
    </w:p>
    <w:p w:rsidR="009C013C" w:rsidRPr="008915A8" w:rsidRDefault="005B16E3" w:rsidP="00D20C8B">
      <w:pPr>
        <w:jc w:val="both"/>
        <w:rPr>
          <w:rFonts w:ascii="Arial" w:hAnsi="Arial" w:cs="Arial"/>
          <w:b/>
        </w:rPr>
      </w:pPr>
      <w:r w:rsidRPr="008915A8">
        <w:rPr>
          <w:rFonts w:ascii="Arial" w:hAnsi="Arial" w:cs="Arial"/>
          <w:b/>
        </w:rPr>
        <w:t xml:space="preserve">Notes </w:t>
      </w:r>
    </w:p>
    <w:p w:rsidR="001E2C82" w:rsidRDefault="005B64BD" w:rsidP="005B16E3">
      <w:pPr>
        <w:pStyle w:val="ListParagraph"/>
        <w:numPr>
          <w:ilvl w:val="0"/>
          <w:numId w:val="2"/>
        </w:numPr>
        <w:jc w:val="both"/>
        <w:rPr>
          <w:rFonts w:ascii="Arial" w:hAnsi="Arial" w:cs="Arial"/>
        </w:rPr>
      </w:pPr>
      <w:r w:rsidRPr="005B16E3">
        <w:rPr>
          <w:rFonts w:ascii="Arial" w:hAnsi="Arial" w:cs="Arial"/>
        </w:rPr>
        <w:t xml:space="preserve">The above chart shows </w:t>
      </w:r>
      <w:r w:rsidR="001E2C82">
        <w:rPr>
          <w:rFonts w:ascii="Arial" w:hAnsi="Arial" w:cs="Arial"/>
        </w:rPr>
        <w:t>three</w:t>
      </w:r>
      <w:r w:rsidRPr="005B16E3">
        <w:rPr>
          <w:rFonts w:ascii="Arial" w:hAnsi="Arial" w:cs="Arial"/>
        </w:rPr>
        <w:t xml:space="preserve"> areas of </w:t>
      </w:r>
      <w:r w:rsidR="001E2C82">
        <w:rPr>
          <w:rFonts w:ascii="Arial" w:hAnsi="Arial" w:cs="Arial"/>
        </w:rPr>
        <w:t xml:space="preserve">high </w:t>
      </w:r>
      <w:r w:rsidRPr="005B16E3">
        <w:rPr>
          <w:rFonts w:ascii="Arial" w:hAnsi="Arial" w:cs="Arial"/>
        </w:rPr>
        <w:t xml:space="preserve">demand ie CAFCASS, Safeguarding and </w:t>
      </w:r>
      <w:r w:rsidR="002C5B6E" w:rsidRPr="005B16E3">
        <w:rPr>
          <w:rFonts w:ascii="Arial" w:hAnsi="Arial" w:cs="Arial"/>
        </w:rPr>
        <w:t xml:space="preserve">the </w:t>
      </w:r>
      <w:r w:rsidRPr="005B16E3">
        <w:rPr>
          <w:rFonts w:ascii="Arial" w:hAnsi="Arial" w:cs="Arial"/>
        </w:rPr>
        <w:t>Probation</w:t>
      </w:r>
      <w:r w:rsidR="002C5B6E" w:rsidRPr="005B16E3">
        <w:rPr>
          <w:rFonts w:ascii="Arial" w:hAnsi="Arial" w:cs="Arial"/>
        </w:rPr>
        <w:t xml:space="preserve"> Service</w:t>
      </w:r>
      <w:r w:rsidR="000A02D5">
        <w:rPr>
          <w:rFonts w:ascii="Arial" w:hAnsi="Arial" w:cs="Arial"/>
        </w:rPr>
        <w:t>, another high area of</w:t>
      </w:r>
      <w:r w:rsidR="001E2C82">
        <w:rPr>
          <w:rFonts w:ascii="Arial" w:hAnsi="Arial" w:cs="Arial"/>
        </w:rPr>
        <w:t xml:space="preserve"> this reporting period has been the ‘other’ </w:t>
      </w:r>
      <w:r w:rsidR="00A221C2">
        <w:rPr>
          <w:rFonts w:ascii="Arial" w:hAnsi="Arial" w:cs="Arial"/>
        </w:rPr>
        <w:t>category</w:t>
      </w:r>
      <w:r w:rsidR="001E2C82">
        <w:rPr>
          <w:rFonts w:ascii="Arial" w:hAnsi="Arial" w:cs="Arial"/>
        </w:rPr>
        <w:t>,</w:t>
      </w:r>
      <w:r w:rsidR="00C511FF">
        <w:rPr>
          <w:rFonts w:ascii="Arial" w:hAnsi="Arial" w:cs="Arial"/>
        </w:rPr>
        <w:t xml:space="preserve"> </w:t>
      </w:r>
      <w:r w:rsidR="006949C2">
        <w:rPr>
          <w:rFonts w:ascii="Arial" w:hAnsi="Arial" w:cs="Arial"/>
        </w:rPr>
        <w:t>however</w:t>
      </w:r>
      <w:r w:rsidR="001E2C82">
        <w:rPr>
          <w:rFonts w:ascii="Arial" w:hAnsi="Arial" w:cs="Arial"/>
        </w:rPr>
        <w:t xml:space="preserve"> this case classification is made up of a variety of subject matters</w:t>
      </w:r>
      <w:r w:rsidR="006949C2">
        <w:rPr>
          <w:rFonts w:ascii="Arial" w:hAnsi="Arial" w:cs="Arial"/>
        </w:rPr>
        <w:t xml:space="preserve"> and therefore is not included within the above chart. </w:t>
      </w:r>
      <w:r w:rsidR="001E2C82">
        <w:rPr>
          <w:rFonts w:ascii="Arial" w:hAnsi="Arial" w:cs="Arial"/>
        </w:rPr>
        <w:t xml:space="preserve"> </w:t>
      </w:r>
    </w:p>
    <w:p w:rsidR="006949C2" w:rsidRDefault="006949C2" w:rsidP="006949C2">
      <w:pPr>
        <w:pStyle w:val="ListParagraph"/>
        <w:jc w:val="both"/>
        <w:rPr>
          <w:rFonts w:ascii="Arial" w:hAnsi="Arial" w:cs="Arial"/>
        </w:rPr>
      </w:pPr>
    </w:p>
    <w:p w:rsidR="001E2C82" w:rsidRPr="001E2C82" w:rsidRDefault="002C5B6E" w:rsidP="001E2C82">
      <w:pPr>
        <w:pStyle w:val="ListParagraph"/>
        <w:numPr>
          <w:ilvl w:val="0"/>
          <w:numId w:val="2"/>
        </w:numPr>
        <w:spacing w:after="0" w:line="240" w:lineRule="auto"/>
        <w:jc w:val="both"/>
        <w:rPr>
          <w:rFonts w:ascii="Arial" w:eastAsia="Calibri" w:hAnsi="Arial" w:cs="Arial"/>
          <w:szCs w:val="20"/>
          <w:lang w:eastAsia="en-GB"/>
        </w:rPr>
      </w:pPr>
      <w:r w:rsidRPr="001E2C82">
        <w:rPr>
          <w:rFonts w:ascii="Arial" w:hAnsi="Arial" w:cs="Arial"/>
        </w:rPr>
        <w:t xml:space="preserve">The </w:t>
      </w:r>
      <w:r w:rsidR="005B64BD" w:rsidRPr="001E2C82">
        <w:rPr>
          <w:rFonts w:ascii="Arial" w:hAnsi="Arial" w:cs="Arial"/>
        </w:rPr>
        <w:t xml:space="preserve">Probation </w:t>
      </w:r>
      <w:r w:rsidRPr="001E2C82">
        <w:rPr>
          <w:rFonts w:ascii="Arial" w:hAnsi="Arial" w:cs="Arial"/>
        </w:rPr>
        <w:t>Service</w:t>
      </w:r>
      <w:r w:rsidR="00E07773">
        <w:rPr>
          <w:rFonts w:ascii="Arial" w:hAnsi="Arial" w:cs="Arial"/>
        </w:rPr>
        <w:t>,</w:t>
      </w:r>
      <w:r w:rsidRPr="001E2C82">
        <w:rPr>
          <w:rFonts w:ascii="Arial" w:hAnsi="Arial" w:cs="Arial"/>
        </w:rPr>
        <w:t xml:space="preserve"> </w:t>
      </w:r>
      <w:r w:rsidR="001E2C82" w:rsidRPr="001E2C82">
        <w:rPr>
          <w:rFonts w:ascii="Arial" w:hAnsi="Arial" w:cs="Arial"/>
        </w:rPr>
        <w:t>again</w:t>
      </w:r>
      <w:r w:rsidR="00E07773">
        <w:rPr>
          <w:rFonts w:ascii="Arial" w:hAnsi="Arial" w:cs="Arial"/>
        </w:rPr>
        <w:t>,</w:t>
      </w:r>
      <w:r w:rsidR="001E2C82" w:rsidRPr="001E2C82">
        <w:rPr>
          <w:rFonts w:ascii="Arial" w:hAnsi="Arial" w:cs="Arial"/>
        </w:rPr>
        <w:t xml:space="preserve"> is the highest area of demand at </w:t>
      </w:r>
      <w:r w:rsidR="001E2C82" w:rsidRPr="001E2C82">
        <w:rPr>
          <w:rFonts w:ascii="Arial" w:hAnsi="Arial" w:cs="Arial"/>
          <w:b/>
        </w:rPr>
        <w:t>250</w:t>
      </w:r>
      <w:r w:rsidR="001E2C82" w:rsidRPr="001E2C82">
        <w:rPr>
          <w:rFonts w:ascii="Arial" w:hAnsi="Arial" w:cs="Arial"/>
        </w:rPr>
        <w:t xml:space="preserve"> cases. Engagement continues with the Probation</w:t>
      </w:r>
      <w:r w:rsidR="001E2C82">
        <w:rPr>
          <w:rFonts w:ascii="Arial" w:hAnsi="Arial" w:cs="Arial"/>
        </w:rPr>
        <w:t xml:space="preserve"> Service. </w:t>
      </w:r>
      <w:r w:rsidR="001E2C82" w:rsidRPr="001E2C82">
        <w:rPr>
          <w:rFonts w:ascii="Arial" w:eastAsia="Calibri" w:hAnsi="Arial" w:cs="Arial"/>
          <w:szCs w:val="20"/>
          <w:lang w:eastAsia="en-GB"/>
        </w:rPr>
        <w:t xml:space="preserve">Processes and templates have been reviewed. Training inputs are to be provided to Probation Service staff by members of the Disclosure Team.  The Probation Service will be providing an input on their work to Disclosure staff which will provide Disclosure Officers with a greater understanding on why the Probation Service request information.  Other means of reducing the volume of work directed at the Disclosure Team are being explored. </w:t>
      </w:r>
    </w:p>
    <w:p w:rsidR="009C013C" w:rsidRPr="005B16E3" w:rsidRDefault="009C013C" w:rsidP="001E2C82">
      <w:pPr>
        <w:pStyle w:val="ListParagraph"/>
        <w:jc w:val="both"/>
        <w:rPr>
          <w:rFonts w:ascii="Arial" w:hAnsi="Arial" w:cs="Arial"/>
        </w:rPr>
      </w:pPr>
    </w:p>
    <w:p w:rsidR="005B16E3" w:rsidRPr="00766225" w:rsidRDefault="006E22A9" w:rsidP="00D20C8B">
      <w:pPr>
        <w:jc w:val="both"/>
        <w:rPr>
          <w:rFonts w:ascii="Arial" w:hAnsi="Arial" w:cs="Arial"/>
          <w:highlight w:val="yellow"/>
        </w:rPr>
      </w:pPr>
      <w:r>
        <w:rPr>
          <w:noProof/>
          <w:lang w:eastAsia="en-GB"/>
        </w:rPr>
        <w:drawing>
          <wp:anchor distT="0" distB="0" distL="114300" distR="114300" simplePos="0" relativeHeight="251659264" behindDoc="1" locked="0" layoutInCell="1" allowOverlap="1" wp14:anchorId="1C013A0A" wp14:editId="761C5D3C">
            <wp:simplePos x="0" y="0"/>
            <wp:positionH relativeFrom="column">
              <wp:posOffset>682283</wp:posOffset>
            </wp:positionH>
            <wp:positionV relativeFrom="paragraph">
              <wp:posOffset>174577</wp:posOffset>
            </wp:positionV>
            <wp:extent cx="4572000" cy="274320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B16E3" w:rsidRPr="00766225" w:rsidRDefault="005B16E3"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6E22A9" w:rsidRDefault="006E22A9" w:rsidP="00D20C8B">
      <w:pPr>
        <w:jc w:val="both"/>
        <w:rPr>
          <w:rFonts w:ascii="Arial" w:hAnsi="Arial" w:cs="Arial"/>
          <w:highlight w:val="yellow"/>
        </w:rPr>
      </w:pPr>
    </w:p>
    <w:p w:rsidR="005B16E3" w:rsidRPr="00E07773" w:rsidRDefault="005B16E3" w:rsidP="00D20C8B">
      <w:pPr>
        <w:jc w:val="both"/>
        <w:rPr>
          <w:rFonts w:ascii="Arial" w:hAnsi="Arial" w:cs="Arial"/>
        </w:rPr>
      </w:pPr>
      <w:r w:rsidRPr="00E07773">
        <w:rPr>
          <w:rFonts w:ascii="Arial" w:hAnsi="Arial" w:cs="Arial"/>
        </w:rPr>
        <w:t>Notes:</w:t>
      </w:r>
    </w:p>
    <w:p w:rsidR="006E22A9" w:rsidRPr="00E07773" w:rsidRDefault="006E22A9" w:rsidP="006E22A9">
      <w:pPr>
        <w:pStyle w:val="ListParagraph"/>
        <w:numPr>
          <w:ilvl w:val="0"/>
          <w:numId w:val="5"/>
        </w:numPr>
        <w:spacing w:after="0" w:line="240" w:lineRule="auto"/>
        <w:contextualSpacing w:val="0"/>
        <w:jc w:val="both"/>
        <w:rPr>
          <w:rFonts w:ascii="Arial" w:hAnsi="Arial" w:cs="Arial"/>
        </w:rPr>
      </w:pPr>
      <w:r w:rsidRPr="00E07773">
        <w:rPr>
          <w:rFonts w:ascii="Arial" w:hAnsi="Arial" w:cs="Arial"/>
        </w:rPr>
        <w:t xml:space="preserve">The above </w:t>
      </w:r>
      <w:r w:rsidR="005B16E3" w:rsidRPr="00E07773">
        <w:rPr>
          <w:rFonts w:ascii="Arial" w:hAnsi="Arial" w:cs="Arial"/>
        </w:rPr>
        <w:t>show</w:t>
      </w:r>
      <w:r w:rsidRPr="00E07773">
        <w:rPr>
          <w:rFonts w:ascii="Arial" w:hAnsi="Arial" w:cs="Arial"/>
        </w:rPr>
        <w:t>s</w:t>
      </w:r>
      <w:r w:rsidR="005B16E3" w:rsidRPr="00E07773">
        <w:rPr>
          <w:rFonts w:ascii="Arial" w:hAnsi="Arial" w:cs="Arial"/>
        </w:rPr>
        <w:t xml:space="preserve"> a s</w:t>
      </w:r>
      <w:r w:rsidRPr="00E07773">
        <w:rPr>
          <w:rFonts w:ascii="Arial" w:hAnsi="Arial" w:cs="Arial"/>
        </w:rPr>
        <w:t>mall number of overdue cases during the period.</w:t>
      </w:r>
      <w:r w:rsidR="005B16E3" w:rsidRPr="00E07773">
        <w:rPr>
          <w:rFonts w:ascii="Arial" w:hAnsi="Arial" w:cs="Arial"/>
        </w:rPr>
        <w:t xml:space="preserve"> </w:t>
      </w:r>
    </w:p>
    <w:p w:rsidR="006E22A9" w:rsidRPr="00E07773" w:rsidRDefault="006E22A9" w:rsidP="006E22A9">
      <w:pPr>
        <w:pStyle w:val="ListParagraph"/>
        <w:spacing w:after="0" w:line="240" w:lineRule="auto"/>
        <w:contextualSpacing w:val="0"/>
        <w:jc w:val="both"/>
        <w:rPr>
          <w:rFonts w:ascii="Arial" w:hAnsi="Arial" w:cs="Arial"/>
        </w:rPr>
      </w:pPr>
    </w:p>
    <w:p w:rsidR="006E22A9" w:rsidRPr="00E07773" w:rsidRDefault="006E22A9" w:rsidP="006E22A9">
      <w:pPr>
        <w:pStyle w:val="ListParagraph"/>
        <w:numPr>
          <w:ilvl w:val="0"/>
          <w:numId w:val="5"/>
        </w:numPr>
        <w:spacing w:after="0" w:line="240" w:lineRule="auto"/>
        <w:contextualSpacing w:val="0"/>
        <w:jc w:val="both"/>
        <w:rPr>
          <w:rFonts w:ascii="Arial" w:hAnsi="Arial" w:cs="Arial"/>
        </w:rPr>
      </w:pPr>
      <w:r w:rsidRPr="00E07773">
        <w:rPr>
          <w:rFonts w:ascii="Arial" w:hAnsi="Arial" w:cs="Arial"/>
        </w:rPr>
        <w:t xml:space="preserve">The Disclosure Unit continues to prioritise work through risk based decision making.  Taking in to account statutory requirements and service level agreements in place. </w:t>
      </w:r>
    </w:p>
    <w:p w:rsidR="006E22A9" w:rsidRPr="00E07773" w:rsidRDefault="006E22A9" w:rsidP="006E22A9">
      <w:pPr>
        <w:pStyle w:val="ListParagraph"/>
        <w:rPr>
          <w:rFonts w:ascii="Arial" w:hAnsi="Arial" w:cs="Arial"/>
        </w:rPr>
      </w:pPr>
    </w:p>
    <w:p w:rsidR="0050364D" w:rsidRPr="00E07773" w:rsidRDefault="006E22A9" w:rsidP="0050364D">
      <w:pPr>
        <w:pStyle w:val="ListParagraph"/>
        <w:numPr>
          <w:ilvl w:val="0"/>
          <w:numId w:val="2"/>
        </w:numPr>
        <w:spacing w:after="0" w:line="240" w:lineRule="auto"/>
        <w:contextualSpacing w:val="0"/>
        <w:jc w:val="both"/>
        <w:rPr>
          <w:rFonts w:ascii="Arial" w:hAnsi="Arial" w:cs="Arial"/>
        </w:rPr>
      </w:pPr>
      <w:r w:rsidRPr="00E07773">
        <w:rPr>
          <w:rFonts w:ascii="Arial" w:hAnsi="Arial" w:cs="Arial"/>
        </w:rPr>
        <w:t>The above chart</w:t>
      </w:r>
      <w:r w:rsidR="0050364D" w:rsidRPr="00E07773">
        <w:rPr>
          <w:rFonts w:ascii="Arial" w:hAnsi="Arial" w:cs="Arial"/>
        </w:rPr>
        <w:t xml:space="preserve"> identif</w:t>
      </w:r>
      <w:r w:rsidRPr="00E07773">
        <w:rPr>
          <w:rFonts w:ascii="Arial" w:hAnsi="Arial" w:cs="Arial"/>
        </w:rPr>
        <w:t>ies</w:t>
      </w:r>
      <w:r w:rsidR="0050364D" w:rsidRPr="00E07773">
        <w:rPr>
          <w:rFonts w:ascii="Arial" w:hAnsi="Arial" w:cs="Arial"/>
        </w:rPr>
        <w:t xml:space="preserve"> the number of requests overdue at the end of each week, ie the weekly reporting period and do not identify requests that may have become overdue during the week but completed before the end of the week (compliance rate). </w:t>
      </w:r>
    </w:p>
    <w:p w:rsidR="006E22A9" w:rsidRPr="00E07773" w:rsidRDefault="006E22A9" w:rsidP="006E22A9">
      <w:pPr>
        <w:pStyle w:val="ListParagraph"/>
        <w:spacing w:after="0" w:line="240" w:lineRule="auto"/>
        <w:contextualSpacing w:val="0"/>
        <w:jc w:val="both"/>
        <w:rPr>
          <w:rFonts w:ascii="Arial" w:hAnsi="Arial" w:cs="Arial"/>
        </w:rPr>
      </w:pPr>
    </w:p>
    <w:p w:rsidR="006E22A9" w:rsidRPr="00E07773" w:rsidRDefault="006E22A9" w:rsidP="006E22A9">
      <w:pPr>
        <w:pStyle w:val="ListParagraph"/>
        <w:numPr>
          <w:ilvl w:val="0"/>
          <w:numId w:val="2"/>
        </w:numPr>
        <w:spacing w:after="0" w:line="240" w:lineRule="auto"/>
        <w:contextualSpacing w:val="0"/>
        <w:jc w:val="both"/>
        <w:rPr>
          <w:rFonts w:ascii="Arial" w:hAnsi="Arial" w:cs="Arial"/>
        </w:rPr>
      </w:pPr>
      <w:r w:rsidRPr="00E07773">
        <w:rPr>
          <w:rFonts w:ascii="Arial" w:hAnsi="Arial" w:cs="Arial"/>
        </w:rPr>
        <w:t xml:space="preserve">Three temporary staff continue to assist the department (one is in the process of being replaced). </w:t>
      </w:r>
    </w:p>
    <w:p w:rsidR="006E22A9" w:rsidRDefault="006E22A9" w:rsidP="00C070F5">
      <w:pPr>
        <w:jc w:val="both"/>
        <w:rPr>
          <w:rFonts w:ascii="Arial" w:hAnsi="Arial" w:cs="Arial"/>
          <w:b/>
          <w:sz w:val="28"/>
          <w:szCs w:val="28"/>
        </w:rPr>
      </w:pPr>
    </w:p>
    <w:p w:rsidR="00E07773" w:rsidRDefault="00E07773" w:rsidP="00C070F5">
      <w:pPr>
        <w:jc w:val="both"/>
        <w:rPr>
          <w:rFonts w:ascii="Arial" w:hAnsi="Arial" w:cs="Arial"/>
          <w:b/>
          <w:sz w:val="28"/>
          <w:szCs w:val="28"/>
        </w:rPr>
      </w:pPr>
    </w:p>
    <w:p w:rsidR="00E07773" w:rsidRDefault="00E07773" w:rsidP="00C070F5">
      <w:pPr>
        <w:jc w:val="both"/>
        <w:rPr>
          <w:rFonts w:ascii="Arial" w:hAnsi="Arial" w:cs="Arial"/>
          <w:b/>
          <w:sz w:val="28"/>
          <w:szCs w:val="28"/>
        </w:rPr>
      </w:pPr>
    </w:p>
    <w:p w:rsidR="00E07773" w:rsidRDefault="00E07773" w:rsidP="00C070F5">
      <w:pPr>
        <w:jc w:val="both"/>
        <w:rPr>
          <w:rFonts w:ascii="Arial" w:hAnsi="Arial" w:cs="Arial"/>
          <w:b/>
          <w:sz w:val="28"/>
          <w:szCs w:val="28"/>
        </w:rPr>
      </w:pPr>
    </w:p>
    <w:p w:rsidR="00E07773" w:rsidRDefault="00E07773" w:rsidP="00C070F5">
      <w:pPr>
        <w:jc w:val="both"/>
        <w:rPr>
          <w:rFonts w:ascii="Arial" w:hAnsi="Arial" w:cs="Arial"/>
          <w:b/>
          <w:sz w:val="28"/>
          <w:szCs w:val="28"/>
        </w:rPr>
      </w:pPr>
    </w:p>
    <w:p w:rsidR="00E07773" w:rsidRDefault="00E07773" w:rsidP="00C070F5">
      <w:pPr>
        <w:jc w:val="both"/>
        <w:rPr>
          <w:rFonts w:ascii="Arial" w:hAnsi="Arial" w:cs="Arial"/>
          <w:b/>
          <w:sz w:val="28"/>
          <w:szCs w:val="28"/>
        </w:rPr>
      </w:pPr>
    </w:p>
    <w:p w:rsidR="00E07773" w:rsidRDefault="00E07773" w:rsidP="00C070F5">
      <w:pPr>
        <w:jc w:val="both"/>
        <w:rPr>
          <w:rFonts w:ascii="Arial" w:hAnsi="Arial" w:cs="Arial"/>
          <w:b/>
          <w:sz w:val="28"/>
          <w:szCs w:val="28"/>
        </w:rPr>
      </w:pPr>
    </w:p>
    <w:p w:rsidR="00C070F5" w:rsidRPr="009D5DEA" w:rsidRDefault="00C070F5" w:rsidP="00C070F5">
      <w:pPr>
        <w:jc w:val="both"/>
        <w:rPr>
          <w:rFonts w:ascii="Arial" w:hAnsi="Arial" w:cs="Arial"/>
          <w:b/>
          <w:sz w:val="28"/>
          <w:szCs w:val="28"/>
        </w:rPr>
      </w:pPr>
      <w:r w:rsidRPr="009D5DEA">
        <w:rPr>
          <w:rFonts w:ascii="Arial" w:hAnsi="Arial" w:cs="Arial"/>
          <w:b/>
          <w:sz w:val="28"/>
          <w:szCs w:val="28"/>
        </w:rPr>
        <w:t>FOI requests and Subject Access Requests (SARs)</w:t>
      </w:r>
    </w:p>
    <w:p w:rsidR="00C070F5" w:rsidRDefault="00C070F5" w:rsidP="00C070F5">
      <w:pPr>
        <w:jc w:val="both"/>
        <w:rPr>
          <w:rFonts w:ascii="Arial" w:hAnsi="Arial" w:cs="Arial"/>
          <w:b/>
        </w:rPr>
      </w:pPr>
      <w:r w:rsidRPr="009D5DEA">
        <w:rPr>
          <w:rFonts w:ascii="Arial" w:hAnsi="Arial" w:cs="Arial"/>
          <w:b/>
        </w:rPr>
        <w:t xml:space="preserve">Compliance rates </w:t>
      </w:r>
      <w:r>
        <w:rPr>
          <w:rFonts w:ascii="Arial" w:hAnsi="Arial" w:cs="Arial"/>
          <w:b/>
        </w:rPr>
        <w:t xml:space="preserve">(timeliness) </w:t>
      </w:r>
      <w:r w:rsidRPr="009D5DEA">
        <w:rPr>
          <w:rFonts w:ascii="Arial" w:hAnsi="Arial" w:cs="Arial"/>
          <w:b/>
        </w:rPr>
        <w:t xml:space="preserve">– </w:t>
      </w:r>
      <w:r>
        <w:rPr>
          <w:rFonts w:ascii="Arial" w:hAnsi="Arial" w:cs="Arial"/>
          <w:b/>
        </w:rPr>
        <w:t xml:space="preserve">seven </w:t>
      </w:r>
      <w:r w:rsidRPr="009D5DEA">
        <w:rPr>
          <w:rFonts w:ascii="Arial" w:hAnsi="Arial" w:cs="Arial"/>
          <w:b/>
        </w:rPr>
        <w:t xml:space="preserve">month period </w:t>
      </w:r>
    </w:p>
    <w:p w:rsidR="00C070F5" w:rsidRPr="00253A09" w:rsidRDefault="00C070F5" w:rsidP="00C070F5">
      <w:pPr>
        <w:spacing w:after="0" w:line="240" w:lineRule="auto"/>
        <w:jc w:val="both"/>
        <w:rPr>
          <w:rFonts w:ascii="Arial" w:eastAsia="Calibri" w:hAnsi="Arial" w:cs="Arial"/>
          <w:b/>
        </w:rPr>
      </w:pPr>
      <w:r w:rsidRPr="00253A09">
        <w:rPr>
          <w:rFonts w:ascii="Arial" w:eastAsia="Calibri" w:hAnsi="Arial" w:cs="Arial"/>
          <w:b/>
        </w:rPr>
        <w:t xml:space="preserve">SAR numbers and compliance rates: </w:t>
      </w:r>
    </w:p>
    <w:p w:rsidR="00C070F5" w:rsidRPr="00253A09" w:rsidRDefault="00C070F5" w:rsidP="00C070F5">
      <w:pPr>
        <w:spacing w:after="0" w:line="240" w:lineRule="auto"/>
        <w:jc w:val="both"/>
        <w:rPr>
          <w:rFonts w:ascii="Arial" w:eastAsia="Calibri" w:hAnsi="Arial" w:cs="Arial"/>
          <w:sz w:val="20"/>
          <w:szCs w:val="20"/>
        </w:rPr>
      </w:pPr>
    </w:p>
    <w:tbl>
      <w:tblPr>
        <w:tblpPr w:leftFromText="180" w:rightFromText="180" w:vertAnchor="text" w:horzAnchor="margin" w:tblpXSpec="right" w:tblpY="201"/>
        <w:tblW w:w="8924" w:type="dxa"/>
        <w:tblLook w:val="04A0" w:firstRow="1" w:lastRow="0" w:firstColumn="1" w:lastColumn="0" w:noHBand="0" w:noVBand="1"/>
      </w:tblPr>
      <w:tblGrid>
        <w:gridCol w:w="1570"/>
        <w:gridCol w:w="960"/>
        <w:gridCol w:w="960"/>
        <w:gridCol w:w="960"/>
        <w:gridCol w:w="960"/>
        <w:gridCol w:w="970"/>
        <w:gridCol w:w="992"/>
        <w:gridCol w:w="869"/>
        <w:gridCol w:w="683"/>
      </w:tblGrid>
      <w:tr w:rsidR="00C070F5" w:rsidRPr="00253A09" w:rsidTr="00FD5DD6">
        <w:trPr>
          <w:trHeight w:val="290"/>
        </w:trPr>
        <w:tc>
          <w:tcPr>
            <w:tcW w:w="1570" w:type="dxa"/>
            <w:tcBorders>
              <w:top w:val="nil"/>
              <w:left w:val="nil"/>
              <w:bottom w:val="nil"/>
              <w:right w:val="nil"/>
            </w:tcBorders>
            <w:shd w:val="clear" w:color="auto" w:fill="C4BC96"/>
          </w:tcPr>
          <w:p w:rsidR="00C070F5" w:rsidRPr="00253A09" w:rsidRDefault="00C070F5" w:rsidP="00FD5DD6">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C4BC96"/>
            <w:noWrap/>
            <w:vAlign w:val="bottom"/>
          </w:tcPr>
          <w:p w:rsidR="00C070F5" w:rsidRPr="00253A09" w:rsidRDefault="00C070F5" w:rsidP="00FD5DD6">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Aug-20</w:t>
            </w:r>
          </w:p>
        </w:tc>
        <w:tc>
          <w:tcPr>
            <w:tcW w:w="960" w:type="dxa"/>
            <w:tcBorders>
              <w:top w:val="nil"/>
              <w:left w:val="nil"/>
              <w:bottom w:val="nil"/>
              <w:right w:val="nil"/>
            </w:tcBorders>
            <w:shd w:val="clear" w:color="auto" w:fill="C4BC96"/>
            <w:noWrap/>
            <w:vAlign w:val="bottom"/>
          </w:tcPr>
          <w:p w:rsidR="00C070F5" w:rsidRPr="00253A09" w:rsidRDefault="00C070F5" w:rsidP="00FD5DD6">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Sept-20</w:t>
            </w:r>
          </w:p>
        </w:tc>
        <w:tc>
          <w:tcPr>
            <w:tcW w:w="960" w:type="dxa"/>
            <w:tcBorders>
              <w:top w:val="nil"/>
              <w:left w:val="nil"/>
              <w:bottom w:val="nil"/>
              <w:right w:val="nil"/>
            </w:tcBorders>
            <w:shd w:val="clear" w:color="auto" w:fill="C4BC96"/>
            <w:noWrap/>
          </w:tcPr>
          <w:p w:rsidR="00C070F5" w:rsidRPr="00253A09" w:rsidRDefault="00C070F5" w:rsidP="00FD5DD6">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Oct-20</w:t>
            </w:r>
          </w:p>
        </w:tc>
        <w:tc>
          <w:tcPr>
            <w:tcW w:w="960" w:type="dxa"/>
            <w:tcBorders>
              <w:top w:val="nil"/>
              <w:left w:val="nil"/>
              <w:bottom w:val="nil"/>
              <w:right w:val="nil"/>
            </w:tcBorders>
            <w:shd w:val="clear" w:color="auto" w:fill="C4BC96"/>
            <w:noWrap/>
          </w:tcPr>
          <w:p w:rsidR="00C070F5" w:rsidRPr="00253A09" w:rsidRDefault="00C070F5" w:rsidP="00FD5DD6">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Nov-20</w:t>
            </w:r>
          </w:p>
        </w:tc>
        <w:tc>
          <w:tcPr>
            <w:tcW w:w="970" w:type="dxa"/>
            <w:tcBorders>
              <w:top w:val="nil"/>
              <w:left w:val="nil"/>
              <w:bottom w:val="nil"/>
              <w:right w:val="nil"/>
            </w:tcBorders>
            <w:shd w:val="clear" w:color="auto" w:fill="C4BC96"/>
          </w:tcPr>
          <w:p w:rsidR="00C070F5" w:rsidRPr="00253A09" w:rsidRDefault="00C070F5" w:rsidP="00FD5DD6">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Dec-20 </w:t>
            </w:r>
          </w:p>
        </w:tc>
        <w:tc>
          <w:tcPr>
            <w:tcW w:w="992" w:type="dxa"/>
            <w:tcBorders>
              <w:top w:val="nil"/>
              <w:left w:val="nil"/>
              <w:bottom w:val="nil"/>
              <w:right w:val="nil"/>
            </w:tcBorders>
            <w:shd w:val="clear" w:color="auto" w:fill="C4BC96"/>
            <w:vAlign w:val="bottom"/>
          </w:tcPr>
          <w:p w:rsidR="00C070F5" w:rsidRPr="00253A09" w:rsidRDefault="00C070F5" w:rsidP="00FD5DD6">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Jan-21</w:t>
            </w:r>
          </w:p>
        </w:tc>
        <w:tc>
          <w:tcPr>
            <w:tcW w:w="869" w:type="dxa"/>
            <w:tcBorders>
              <w:top w:val="nil"/>
              <w:left w:val="nil"/>
              <w:bottom w:val="nil"/>
              <w:right w:val="nil"/>
            </w:tcBorders>
            <w:shd w:val="clear" w:color="auto" w:fill="C4BC96"/>
          </w:tcPr>
          <w:p w:rsidR="00C070F5" w:rsidRPr="00253A09" w:rsidRDefault="00C070F5" w:rsidP="00FD5DD6">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Feb-21</w:t>
            </w:r>
          </w:p>
        </w:tc>
        <w:tc>
          <w:tcPr>
            <w:tcW w:w="683" w:type="dxa"/>
            <w:tcBorders>
              <w:top w:val="nil"/>
              <w:left w:val="nil"/>
              <w:bottom w:val="nil"/>
              <w:right w:val="nil"/>
            </w:tcBorders>
            <w:shd w:val="clear" w:color="auto" w:fill="FBD4B4"/>
            <w:noWrap/>
            <w:vAlign w:val="bottom"/>
            <w:hideMark/>
          </w:tcPr>
          <w:p w:rsidR="00C070F5" w:rsidRPr="00253A09" w:rsidRDefault="00C070F5" w:rsidP="00FD5DD6">
            <w:pPr>
              <w:spacing w:after="0" w:line="240" w:lineRule="auto"/>
              <w:jc w:val="center"/>
              <w:rPr>
                <w:rFonts w:ascii="Calibri" w:eastAsia="Times New Roman" w:hAnsi="Calibri" w:cs="Calibri"/>
                <w:b/>
                <w:bCs/>
                <w:color w:val="000000"/>
                <w:lang w:eastAsia="en-GB"/>
              </w:rPr>
            </w:pPr>
            <w:r w:rsidRPr="00253A09">
              <w:rPr>
                <w:rFonts w:ascii="Calibri" w:eastAsia="Times New Roman" w:hAnsi="Calibri" w:cs="Calibri"/>
                <w:b/>
                <w:bCs/>
                <w:color w:val="000000"/>
                <w:lang w:eastAsia="en-GB"/>
              </w:rPr>
              <w:t>Total</w:t>
            </w:r>
          </w:p>
        </w:tc>
      </w:tr>
      <w:tr w:rsidR="00C070F5" w:rsidRPr="00253A09" w:rsidTr="00FD5DD6">
        <w:trPr>
          <w:trHeight w:val="290"/>
        </w:trPr>
        <w:tc>
          <w:tcPr>
            <w:tcW w:w="1570" w:type="dxa"/>
            <w:tcBorders>
              <w:top w:val="nil"/>
              <w:left w:val="nil"/>
              <w:bottom w:val="nil"/>
              <w:right w:val="nil"/>
            </w:tcBorders>
            <w:shd w:val="clear" w:color="auto" w:fill="DBE5F1"/>
          </w:tcPr>
          <w:p w:rsidR="00C070F5" w:rsidRPr="00253A09" w:rsidRDefault="00C070F5" w:rsidP="00FD5DD6">
            <w:pPr>
              <w:spacing w:after="0" w:line="240" w:lineRule="auto"/>
              <w:rPr>
                <w:rFonts w:ascii="Calibri" w:eastAsia="Times New Roman" w:hAnsi="Calibri" w:cs="Calibri"/>
                <w:b/>
                <w:color w:val="000000"/>
                <w:lang w:eastAsia="en-GB"/>
              </w:rPr>
            </w:pPr>
            <w:r w:rsidRPr="00253A09">
              <w:rPr>
                <w:rFonts w:ascii="Calibri" w:eastAsia="Times New Roman" w:hAnsi="Calibri" w:cs="Calibri"/>
                <w:b/>
                <w:color w:val="000000"/>
                <w:lang w:eastAsia="en-GB"/>
              </w:rPr>
              <w:t xml:space="preserve">Request numbers </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38</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33</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32</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22</w:t>
            </w:r>
          </w:p>
        </w:tc>
        <w:tc>
          <w:tcPr>
            <w:tcW w:w="970" w:type="dxa"/>
            <w:tcBorders>
              <w:top w:val="nil"/>
              <w:left w:val="nil"/>
              <w:bottom w:val="nil"/>
              <w:right w:val="nil"/>
            </w:tcBorders>
            <w:shd w:val="clear" w:color="auto" w:fill="DBE5F1"/>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29</w:t>
            </w:r>
          </w:p>
        </w:tc>
        <w:tc>
          <w:tcPr>
            <w:tcW w:w="992" w:type="dxa"/>
            <w:tcBorders>
              <w:top w:val="nil"/>
              <w:left w:val="nil"/>
              <w:bottom w:val="nil"/>
              <w:right w:val="nil"/>
            </w:tcBorders>
            <w:shd w:val="clear" w:color="auto" w:fill="DBE5F1"/>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p>
        </w:tc>
        <w:tc>
          <w:tcPr>
            <w:tcW w:w="869" w:type="dxa"/>
            <w:tcBorders>
              <w:top w:val="nil"/>
              <w:left w:val="nil"/>
              <w:bottom w:val="nil"/>
              <w:right w:val="nil"/>
            </w:tcBorders>
            <w:shd w:val="clear" w:color="auto" w:fill="DBE5F1"/>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41</w:t>
            </w:r>
          </w:p>
        </w:tc>
        <w:tc>
          <w:tcPr>
            <w:tcW w:w="683" w:type="dxa"/>
            <w:tcBorders>
              <w:top w:val="nil"/>
              <w:left w:val="nil"/>
              <w:bottom w:val="nil"/>
              <w:right w:val="nil"/>
            </w:tcBorders>
            <w:shd w:val="clear" w:color="auto" w:fill="FBD4B4"/>
            <w:noWrap/>
            <w:vAlign w:val="center"/>
          </w:tcPr>
          <w:p w:rsidR="00C070F5" w:rsidRPr="00253A09" w:rsidRDefault="00C070F5" w:rsidP="00FD5DD6">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226</w:t>
            </w:r>
          </w:p>
        </w:tc>
      </w:tr>
      <w:tr w:rsidR="00C070F5" w:rsidRPr="00253A09" w:rsidTr="00FD5DD6">
        <w:trPr>
          <w:trHeight w:val="290"/>
        </w:trPr>
        <w:tc>
          <w:tcPr>
            <w:tcW w:w="1570" w:type="dxa"/>
            <w:tcBorders>
              <w:top w:val="nil"/>
              <w:left w:val="nil"/>
              <w:bottom w:val="nil"/>
              <w:right w:val="nil"/>
            </w:tcBorders>
            <w:shd w:val="clear" w:color="auto" w:fill="C6D9F1"/>
          </w:tcPr>
          <w:p w:rsidR="00C070F5" w:rsidRPr="00253A09" w:rsidRDefault="00C070F5" w:rsidP="00FD5DD6">
            <w:pPr>
              <w:spacing w:after="0" w:line="240" w:lineRule="auto"/>
              <w:rPr>
                <w:rFonts w:ascii="Calibri" w:eastAsia="Times New Roman" w:hAnsi="Calibri" w:cs="Calibri"/>
                <w:b/>
                <w:color w:val="000000"/>
                <w:lang w:eastAsia="en-GB"/>
              </w:rPr>
            </w:pPr>
            <w:r w:rsidRPr="00253A09">
              <w:rPr>
                <w:rFonts w:ascii="Calibri" w:eastAsia="Times New Roman" w:hAnsi="Calibri" w:cs="Calibri"/>
                <w:b/>
                <w:color w:val="000000"/>
                <w:lang w:eastAsia="en-GB"/>
              </w:rPr>
              <w:t xml:space="preserve">Compliance rate </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253A09">
              <w:rPr>
                <w:rFonts w:ascii="Calibri" w:eastAsia="Times New Roman" w:hAnsi="Calibri" w:cs="Calibri"/>
                <w:color w:val="000000"/>
                <w:lang w:eastAsia="en-GB"/>
              </w:rPr>
              <w:t>68%</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000B5C">
              <w:rPr>
                <w:rFonts w:ascii="Calibri" w:eastAsia="Times New Roman" w:hAnsi="Calibri" w:cs="Calibri"/>
                <w:color w:val="000000"/>
                <w:lang w:eastAsia="en-GB"/>
              </w:rPr>
              <w:t>74%</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000B5C">
              <w:rPr>
                <w:rFonts w:ascii="Calibri" w:eastAsia="Times New Roman" w:hAnsi="Calibri" w:cs="Calibri"/>
                <w:color w:val="000000"/>
                <w:lang w:eastAsia="en-GB"/>
              </w:rPr>
              <w:t>88%</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000B5C">
              <w:rPr>
                <w:rFonts w:ascii="Calibri" w:eastAsia="Times New Roman" w:hAnsi="Calibri" w:cs="Calibri"/>
                <w:color w:val="000000"/>
                <w:lang w:eastAsia="en-GB"/>
              </w:rPr>
              <w:t>72%</w:t>
            </w:r>
          </w:p>
        </w:tc>
        <w:tc>
          <w:tcPr>
            <w:tcW w:w="970" w:type="dxa"/>
            <w:tcBorders>
              <w:top w:val="nil"/>
              <w:left w:val="nil"/>
              <w:bottom w:val="nil"/>
              <w:right w:val="nil"/>
            </w:tcBorders>
            <w:shd w:val="clear" w:color="auto" w:fill="C6D9F1"/>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000B5C">
              <w:rPr>
                <w:rFonts w:ascii="Calibri" w:eastAsia="Times New Roman" w:hAnsi="Calibri" w:cs="Calibri"/>
                <w:color w:val="000000"/>
                <w:lang w:eastAsia="en-GB"/>
              </w:rPr>
              <w:t>100%</w:t>
            </w:r>
          </w:p>
        </w:tc>
        <w:tc>
          <w:tcPr>
            <w:tcW w:w="992" w:type="dxa"/>
            <w:tcBorders>
              <w:top w:val="nil"/>
              <w:left w:val="nil"/>
              <w:bottom w:val="nil"/>
              <w:right w:val="nil"/>
            </w:tcBorders>
            <w:shd w:val="clear" w:color="auto" w:fill="C6D9F1"/>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97%</w:t>
            </w:r>
          </w:p>
        </w:tc>
        <w:tc>
          <w:tcPr>
            <w:tcW w:w="869" w:type="dxa"/>
            <w:tcBorders>
              <w:top w:val="nil"/>
              <w:left w:val="nil"/>
              <w:bottom w:val="nil"/>
              <w:right w:val="nil"/>
            </w:tcBorders>
            <w:shd w:val="clear" w:color="auto" w:fill="C6D9F1"/>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93%</w:t>
            </w:r>
          </w:p>
        </w:tc>
        <w:tc>
          <w:tcPr>
            <w:tcW w:w="683" w:type="dxa"/>
            <w:tcBorders>
              <w:top w:val="nil"/>
              <w:left w:val="nil"/>
              <w:bottom w:val="nil"/>
              <w:right w:val="nil"/>
            </w:tcBorders>
            <w:shd w:val="clear" w:color="auto" w:fill="FBD4B4"/>
            <w:noWrap/>
            <w:vAlign w:val="bottom"/>
            <w:hideMark/>
          </w:tcPr>
          <w:p w:rsidR="00C070F5" w:rsidRPr="00253A09" w:rsidRDefault="00C070F5" w:rsidP="00FD5DD6">
            <w:pPr>
              <w:spacing w:after="0" w:line="240" w:lineRule="auto"/>
              <w:jc w:val="right"/>
              <w:rPr>
                <w:rFonts w:ascii="Calibri" w:eastAsia="Times New Roman" w:hAnsi="Calibri" w:cs="Calibri"/>
                <w:color w:val="000000"/>
                <w:lang w:eastAsia="en-GB"/>
              </w:rPr>
            </w:pPr>
          </w:p>
        </w:tc>
      </w:tr>
    </w:tbl>
    <w:p w:rsidR="006E22A9" w:rsidRDefault="006E22A9" w:rsidP="00C070F5">
      <w:pPr>
        <w:spacing w:after="0" w:line="240" w:lineRule="auto"/>
        <w:jc w:val="both"/>
        <w:rPr>
          <w:rFonts w:ascii="Arial" w:eastAsia="Calibri" w:hAnsi="Arial" w:cs="Arial"/>
          <w:b/>
        </w:rPr>
      </w:pPr>
    </w:p>
    <w:p w:rsidR="00C070F5" w:rsidRPr="00253A09" w:rsidRDefault="00C070F5" w:rsidP="00C070F5">
      <w:pPr>
        <w:spacing w:after="0" w:line="240" w:lineRule="auto"/>
        <w:jc w:val="both"/>
        <w:rPr>
          <w:rFonts w:ascii="Arial" w:eastAsia="Calibri" w:hAnsi="Arial" w:cs="Arial"/>
          <w:b/>
        </w:rPr>
      </w:pPr>
      <w:r w:rsidRPr="00253A09">
        <w:rPr>
          <w:rFonts w:ascii="Arial" w:eastAsia="Calibri" w:hAnsi="Arial" w:cs="Arial"/>
          <w:b/>
        </w:rPr>
        <w:t>FOI request numbers and compliance rates</w:t>
      </w:r>
      <w:r>
        <w:rPr>
          <w:rFonts w:ascii="Arial" w:eastAsia="Calibri" w:hAnsi="Arial" w:cs="Arial"/>
          <w:b/>
        </w:rPr>
        <w:t xml:space="preserve"> (timeliness)</w:t>
      </w:r>
      <w:r w:rsidRPr="00253A09">
        <w:rPr>
          <w:rFonts w:ascii="Arial" w:eastAsia="Calibri" w:hAnsi="Arial" w:cs="Arial"/>
          <w:b/>
        </w:rPr>
        <w:t xml:space="preserve">: </w:t>
      </w:r>
    </w:p>
    <w:p w:rsidR="00C070F5" w:rsidRPr="00253A09" w:rsidRDefault="00C070F5" w:rsidP="00C070F5">
      <w:pPr>
        <w:spacing w:after="0" w:line="240" w:lineRule="auto"/>
        <w:jc w:val="both"/>
        <w:rPr>
          <w:rFonts w:ascii="Arial" w:eastAsia="Calibri" w:hAnsi="Arial" w:cs="Arial"/>
          <w:sz w:val="20"/>
          <w:szCs w:val="20"/>
        </w:rPr>
      </w:pPr>
    </w:p>
    <w:tbl>
      <w:tblPr>
        <w:tblpPr w:leftFromText="180" w:rightFromText="180" w:vertAnchor="text" w:horzAnchor="margin" w:tblpXSpec="right" w:tblpY="320"/>
        <w:tblW w:w="8931" w:type="dxa"/>
        <w:tblLook w:val="04A0" w:firstRow="1" w:lastRow="0" w:firstColumn="1" w:lastColumn="0" w:noHBand="0" w:noVBand="1"/>
      </w:tblPr>
      <w:tblGrid>
        <w:gridCol w:w="1286"/>
        <w:gridCol w:w="960"/>
        <w:gridCol w:w="960"/>
        <w:gridCol w:w="960"/>
        <w:gridCol w:w="960"/>
        <w:gridCol w:w="970"/>
        <w:gridCol w:w="992"/>
        <w:gridCol w:w="992"/>
        <w:gridCol w:w="851"/>
      </w:tblGrid>
      <w:tr w:rsidR="00C070F5" w:rsidRPr="00253A09" w:rsidTr="00FD5DD6">
        <w:trPr>
          <w:trHeight w:val="290"/>
        </w:trPr>
        <w:tc>
          <w:tcPr>
            <w:tcW w:w="1286" w:type="dxa"/>
            <w:tcBorders>
              <w:top w:val="nil"/>
              <w:left w:val="nil"/>
              <w:bottom w:val="nil"/>
              <w:right w:val="nil"/>
            </w:tcBorders>
            <w:shd w:val="clear" w:color="auto" w:fill="C4BC96"/>
          </w:tcPr>
          <w:p w:rsidR="00C070F5" w:rsidRPr="00253A09" w:rsidRDefault="00C070F5" w:rsidP="00FD5DD6">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C4BC96"/>
            <w:noWrap/>
            <w:vAlign w:val="center"/>
          </w:tcPr>
          <w:p w:rsidR="00C070F5" w:rsidRPr="00253A09" w:rsidRDefault="00C070F5" w:rsidP="00FD5DD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Aug-20 </w:t>
            </w:r>
          </w:p>
        </w:tc>
        <w:tc>
          <w:tcPr>
            <w:tcW w:w="960" w:type="dxa"/>
            <w:tcBorders>
              <w:top w:val="nil"/>
              <w:left w:val="nil"/>
              <w:bottom w:val="nil"/>
              <w:right w:val="nil"/>
            </w:tcBorders>
            <w:shd w:val="clear" w:color="auto" w:fill="C4BC96"/>
            <w:noWrap/>
            <w:vAlign w:val="center"/>
          </w:tcPr>
          <w:p w:rsidR="00C070F5" w:rsidRPr="00253A09" w:rsidRDefault="00C070F5" w:rsidP="00FD5DD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Sep-20</w:t>
            </w:r>
          </w:p>
        </w:tc>
        <w:tc>
          <w:tcPr>
            <w:tcW w:w="960" w:type="dxa"/>
            <w:tcBorders>
              <w:top w:val="nil"/>
              <w:left w:val="nil"/>
              <w:bottom w:val="nil"/>
              <w:right w:val="nil"/>
            </w:tcBorders>
            <w:shd w:val="clear" w:color="auto" w:fill="C4BC96"/>
            <w:noWrap/>
            <w:vAlign w:val="center"/>
          </w:tcPr>
          <w:p w:rsidR="00C070F5" w:rsidRPr="00253A09" w:rsidRDefault="00C070F5" w:rsidP="00FD5DD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Oct-20</w:t>
            </w:r>
          </w:p>
        </w:tc>
        <w:tc>
          <w:tcPr>
            <w:tcW w:w="960" w:type="dxa"/>
            <w:tcBorders>
              <w:top w:val="nil"/>
              <w:left w:val="nil"/>
              <w:bottom w:val="nil"/>
              <w:right w:val="nil"/>
            </w:tcBorders>
            <w:shd w:val="clear" w:color="auto" w:fill="C4BC96"/>
            <w:noWrap/>
            <w:vAlign w:val="center"/>
          </w:tcPr>
          <w:p w:rsidR="00C070F5" w:rsidRPr="00253A09" w:rsidRDefault="00C070F5" w:rsidP="00FD5DD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Nov-20</w:t>
            </w:r>
          </w:p>
        </w:tc>
        <w:tc>
          <w:tcPr>
            <w:tcW w:w="970" w:type="dxa"/>
            <w:tcBorders>
              <w:top w:val="nil"/>
              <w:left w:val="nil"/>
              <w:bottom w:val="nil"/>
              <w:right w:val="nil"/>
            </w:tcBorders>
            <w:shd w:val="clear" w:color="auto" w:fill="C4BC96"/>
            <w:vAlign w:val="center"/>
          </w:tcPr>
          <w:p w:rsidR="00C070F5" w:rsidRPr="00253A09" w:rsidRDefault="00C070F5" w:rsidP="00FD5DD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Dec-20</w:t>
            </w:r>
          </w:p>
        </w:tc>
        <w:tc>
          <w:tcPr>
            <w:tcW w:w="992" w:type="dxa"/>
            <w:tcBorders>
              <w:top w:val="nil"/>
              <w:left w:val="nil"/>
              <w:bottom w:val="nil"/>
              <w:right w:val="nil"/>
            </w:tcBorders>
            <w:shd w:val="clear" w:color="auto" w:fill="C4BC96"/>
            <w:vAlign w:val="center"/>
          </w:tcPr>
          <w:p w:rsidR="00C070F5" w:rsidRPr="00253A09" w:rsidRDefault="00C070F5" w:rsidP="00FD5DD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Jan-21</w:t>
            </w:r>
          </w:p>
        </w:tc>
        <w:tc>
          <w:tcPr>
            <w:tcW w:w="992" w:type="dxa"/>
            <w:tcBorders>
              <w:top w:val="nil"/>
              <w:left w:val="nil"/>
              <w:bottom w:val="nil"/>
              <w:right w:val="nil"/>
            </w:tcBorders>
            <w:shd w:val="clear" w:color="auto" w:fill="C4BC96"/>
            <w:vAlign w:val="center"/>
          </w:tcPr>
          <w:p w:rsidR="00C070F5" w:rsidRPr="00253A09" w:rsidRDefault="00C070F5" w:rsidP="00FD5DD6">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Feb-21</w:t>
            </w:r>
          </w:p>
        </w:tc>
        <w:tc>
          <w:tcPr>
            <w:tcW w:w="851" w:type="dxa"/>
            <w:tcBorders>
              <w:top w:val="nil"/>
              <w:left w:val="nil"/>
              <w:bottom w:val="nil"/>
              <w:right w:val="nil"/>
            </w:tcBorders>
            <w:shd w:val="clear" w:color="auto" w:fill="FBD4B4"/>
            <w:noWrap/>
            <w:vAlign w:val="bottom"/>
            <w:hideMark/>
          </w:tcPr>
          <w:p w:rsidR="00C070F5" w:rsidRPr="00253A09" w:rsidRDefault="00C070F5" w:rsidP="00FD5DD6">
            <w:pPr>
              <w:spacing w:after="0" w:line="240" w:lineRule="auto"/>
              <w:jc w:val="center"/>
              <w:rPr>
                <w:rFonts w:ascii="Calibri" w:eastAsia="Times New Roman" w:hAnsi="Calibri" w:cs="Calibri"/>
                <w:b/>
                <w:bCs/>
                <w:color w:val="000000"/>
                <w:lang w:eastAsia="en-GB"/>
              </w:rPr>
            </w:pPr>
            <w:r w:rsidRPr="00253A09">
              <w:rPr>
                <w:rFonts w:ascii="Calibri" w:eastAsia="Times New Roman" w:hAnsi="Calibri" w:cs="Calibri"/>
                <w:b/>
                <w:bCs/>
                <w:color w:val="000000"/>
                <w:lang w:eastAsia="en-GB"/>
              </w:rPr>
              <w:t>Total</w:t>
            </w:r>
          </w:p>
        </w:tc>
      </w:tr>
      <w:tr w:rsidR="00C070F5" w:rsidRPr="00253A09" w:rsidTr="00FD5DD6">
        <w:trPr>
          <w:trHeight w:val="290"/>
        </w:trPr>
        <w:tc>
          <w:tcPr>
            <w:tcW w:w="1286" w:type="dxa"/>
            <w:tcBorders>
              <w:top w:val="nil"/>
              <w:left w:val="nil"/>
              <w:bottom w:val="nil"/>
              <w:right w:val="nil"/>
            </w:tcBorders>
            <w:shd w:val="clear" w:color="auto" w:fill="DBE5F1"/>
          </w:tcPr>
          <w:p w:rsidR="00C070F5" w:rsidRPr="00253A09" w:rsidRDefault="00C070F5" w:rsidP="00FD5DD6">
            <w:pPr>
              <w:spacing w:after="0" w:line="240" w:lineRule="auto"/>
              <w:rPr>
                <w:rFonts w:ascii="Calibri" w:eastAsia="Times New Roman" w:hAnsi="Calibri" w:cs="Calibri"/>
                <w:color w:val="000000"/>
                <w:lang w:eastAsia="en-GB"/>
              </w:rPr>
            </w:pPr>
            <w:r w:rsidRPr="00253A09">
              <w:rPr>
                <w:rFonts w:ascii="Calibri" w:eastAsia="Times New Roman" w:hAnsi="Calibri" w:cs="Calibri"/>
                <w:b/>
                <w:color w:val="000000"/>
                <w:lang w:eastAsia="en-GB"/>
              </w:rPr>
              <w:t xml:space="preserve">Request numbers </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sidRPr="00253A09">
              <w:rPr>
                <w:rFonts w:ascii="Calibri" w:eastAsia="Times New Roman" w:hAnsi="Calibri" w:cs="Calibri"/>
                <w:bCs/>
                <w:color w:val="000000"/>
                <w:lang w:eastAsia="en-GB"/>
              </w:rPr>
              <w:t>66</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ED6D78">
              <w:rPr>
                <w:rFonts w:ascii="Calibri" w:eastAsia="Times New Roman" w:hAnsi="Calibri" w:cs="Calibri"/>
                <w:color w:val="000000"/>
                <w:lang w:eastAsia="en-GB"/>
              </w:rPr>
              <w:t>72</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100</w:t>
            </w:r>
          </w:p>
        </w:tc>
        <w:tc>
          <w:tcPr>
            <w:tcW w:w="960" w:type="dxa"/>
            <w:tcBorders>
              <w:top w:val="nil"/>
              <w:left w:val="nil"/>
              <w:bottom w:val="nil"/>
              <w:right w:val="nil"/>
            </w:tcBorders>
            <w:shd w:val="clear" w:color="auto" w:fill="DBE5F1"/>
            <w:noWrap/>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sidRPr="00ED6D78">
              <w:rPr>
                <w:rFonts w:ascii="Calibri" w:eastAsia="Times New Roman" w:hAnsi="Calibri" w:cs="Calibri"/>
                <w:bCs/>
                <w:color w:val="000000"/>
                <w:lang w:eastAsia="en-GB"/>
              </w:rPr>
              <w:t>84</w:t>
            </w:r>
          </w:p>
        </w:tc>
        <w:tc>
          <w:tcPr>
            <w:tcW w:w="970" w:type="dxa"/>
            <w:tcBorders>
              <w:top w:val="nil"/>
              <w:left w:val="nil"/>
              <w:bottom w:val="nil"/>
              <w:right w:val="nil"/>
            </w:tcBorders>
            <w:shd w:val="clear" w:color="auto" w:fill="DBE5F1"/>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sidRPr="00ED6D78">
              <w:rPr>
                <w:rFonts w:ascii="Calibri" w:eastAsia="Times New Roman" w:hAnsi="Calibri" w:cs="Calibri"/>
                <w:bCs/>
                <w:color w:val="000000"/>
                <w:lang w:eastAsia="en-GB"/>
              </w:rPr>
              <w:t>85</w:t>
            </w:r>
          </w:p>
        </w:tc>
        <w:tc>
          <w:tcPr>
            <w:tcW w:w="992" w:type="dxa"/>
            <w:tcBorders>
              <w:top w:val="nil"/>
              <w:left w:val="nil"/>
              <w:bottom w:val="nil"/>
              <w:right w:val="nil"/>
            </w:tcBorders>
            <w:shd w:val="clear" w:color="auto" w:fill="DBE5F1"/>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111</w:t>
            </w:r>
          </w:p>
        </w:tc>
        <w:tc>
          <w:tcPr>
            <w:tcW w:w="992" w:type="dxa"/>
            <w:tcBorders>
              <w:top w:val="nil"/>
              <w:left w:val="nil"/>
              <w:bottom w:val="nil"/>
              <w:right w:val="nil"/>
            </w:tcBorders>
            <w:shd w:val="clear" w:color="auto" w:fill="DBE5F1"/>
            <w:vAlign w:val="center"/>
          </w:tcPr>
          <w:p w:rsidR="00C070F5" w:rsidRPr="00253A09" w:rsidRDefault="00C070F5" w:rsidP="00FD5DD6">
            <w:pPr>
              <w:spacing w:after="0" w:line="240" w:lineRule="auto"/>
              <w:jc w:val="center"/>
              <w:rPr>
                <w:rFonts w:ascii="Calibri" w:eastAsia="Times New Roman" w:hAnsi="Calibri" w:cs="Calibri"/>
                <w:bCs/>
                <w:color w:val="000000"/>
                <w:lang w:eastAsia="en-GB"/>
              </w:rPr>
            </w:pPr>
            <w:r>
              <w:rPr>
                <w:rFonts w:ascii="Calibri" w:eastAsia="Times New Roman" w:hAnsi="Calibri" w:cs="Calibri"/>
                <w:bCs/>
                <w:color w:val="000000"/>
                <w:lang w:eastAsia="en-GB"/>
              </w:rPr>
              <w:t>87</w:t>
            </w:r>
          </w:p>
        </w:tc>
        <w:tc>
          <w:tcPr>
            <w:tcW w:w="851" w:type="dxa"/>
            <w:tcBorders>
              <w:top w:val="nil"/>
              <w:left w:val="nil"/>
              <w:bottom w:val="nil"/>
              <w:right w:val="nil"/>
            </w:tcBorders>
            <w:shd w:val="clear" w:color="auto" w:fill="FBD4B4"/>
            <w:noWrap/>
            <w:vAlign w:val="center"/>
            <w:hideMark/>
          </w:tcPr>
          <w:p w:rsidR="00C070F5" w:rsidRPr="00253A09" w:rsidRDefault="00C070F5" w:rsidP="00FD5DD6">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605</w:t>
            </w:r>
          </w:p>
        </w:tc>
      </w:tr>
      <w:tr w:rsidR="00C070F5" w:rsidRPr="00253A09" w:rsidTr="00FD5DD6">
        <w:trPr>
          <w:trHeight w:val="290"/>
        </w:trPr>
        <w:tc>
          <w:tcPr>
            <w:tcW w:w="1286" w:type="dxa"/>
            <w:tcBorders>
              <w:top w:val="nil"/>
              <w:left w:val="nil"/>
              <w:bottom w:val="nil"/>
              <w:right w:val="nil"/>
            </w:tcBorders>
            <w:shd w:val="clear" w:color="auto" w:fill="C6D9F1"/>
          </w:tcPr>
          <w:p w:rsidR="00C070F5" w:rsidRPr="00253A09" w:rsidRDefault="00C070F5" w:rsidP="00FD5DD6">
            <w:pPr>
              <w:spacing w:after="0" w:line="240" w:lineRule="auto"/>
              <w:rPr>
                <w:rFonts w:ascii="Calibri" w:eastAsia="Times New Roman" w:hAnsi="Calibri" w:cs="Calibri"/>
                <w:b/>
                <w:color w:val="000000"/>
                <w:lang w:eastAsia="en-GB"/>
              </w:rPr>
            </w:pPr>
            <w:r w:rsidRPr="00253A09">
              <w:rPr>
                <w:rFonts w:ascii="Calibri" w:eastAsia="Times New Roman" w:hAnsi="Calibri" w:cs="Calibri"/>
                <w:b/>
                <w:color w:val="000000"/>
                <w:lang w:eastAsia="en-GB"/>
              </w:rPr>
              <w:t xml:space="preserve">Compliance rate </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ED6D78">
              <w:rPr>
                <w:rFonts w:ascii="Calibri" w:eastAsia="Times New Roman" w:hAnsi="Calibri" w:cs="Calibri"/>
                <w:color w:val="000000"/>
                <w:lang w:eastAsia="en-GB"/>
              </w:rPr>
              <w:t>97%</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ED6D78">
              <w:rPr>
                <w:rFonts w:ascii="Calibri" w:eastAsia="Times New Roman" w:hAnsi="Calibri" w:cs="Calibri"/>
                <w:color w:val="000000"/>
                <w:lang w:eastAsia="en-GB"/>
              </w:rPr>
              <w:t>81%</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92%</w:t>
            </w:r>
          </w:p>
        </w:tc>
        <w:tc>
          <w:tcPr>
            <w:tcW w:w="960" w:type="dxa"/>
            <w:tcBorders>
              <w:top w:val="nil"/>
              <w:left w:val="nil"/>
              <w:bottom w:val="nil"/>
              <w:right w:val="nil"/>
            </w:tcBorders>
            <w:shd w:val="clear" w:color="auto" w:fill="C6D9F1"/>
            <w:noWrap/>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ED6D78">
              <w:rPr>
                <w:rFonts w:ascii="Calibri" w:eastAsia="Times New Roman" w:hAnsi="Calibri" w:cs="Calibri"/>
                <w:color w:val="000000"/>
                <w:lang w:eastAsia="en-GB"/>
              </w:rPr>
              <w:t>92%</w:t>
            </w:r>
          </w:p>
        </w:tc>
        <w:tc>
          <w:tcPr>
            <w:tcW w:w="970" w:type="dxa"/>
            <w:tcBorders>
              <w:top w:val="nil"/>
              <w:left w:val="nil"/>
              <w:bottom w:val="nil"/>
              <w:right w:val="nil"/>
            </w:tcBorders>
            <w:shd w:val="clear" w:color="auto" w:fill="C6D9F1"/>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sidRPr="00ED6D78">
              <w:rPr>
                <w:rFonts w:ascii="Calibri" w:eastAsia="Times New Roman" w:hAnsi="Calibri" w:cs="Calibri"/>
                <w:color w:val="000000"/>
                <w:lang w:eastAsia="en-GB"/>
              </w:rPr>
              <w:t>98%</w:t>
            </w:r>
          </w:p>
        </w:tc>
        <w:tc>
          <w:tcPr>
            <w:tcW w:w="992" w:type="dxa"/>
            <w:tcBorders>
              <w:top w:val="nil"/>
              <w:left w:val="nil"/>
              <w:bottom w:val="nil"/>
              <w:right w:val="nil"/>
            </w:tcBorders>
            <w:shd w:val="clear" w:color="auto" w:fill="C6D9F1"/>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94%</w:t>
            </w:r>
          </w:p>
        </w:tc>
        <w:tc>
          <w:tcPr>
            <w:tcW w:w="992" w:type="dxa"/>
            <w:tcBorders>
              <w:top w:val="nil"/>
              <w:left w:val="nil"/>
              <w:bottom w:val="nil"/>
              <w:right w:val="nil"/>
            </w:tcBorders>
            <w:shd w:val="clear" w:color="auto" w:fill="C6D9F1"/>
            <w:vAlign w:val="center"/>
          </w:tcPr>
          <w:p w:rsidR="00C070F5" w:rsidRPr="00253A09" w:rsidRDefault="00C070F5" w:rsidP="00FD5DD6">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95%</w:t>
            </w:r>
          </w:p>
        </w:tc>
        <w:tc>
          <w:tcPr>
            <w:tcW w:w="851" w:type="dxa"/>
            <w:tcBorders>
              <w:top w:val="nil"/>
              <w:left w:val="nil"/>
              <w:bottom w:val="nil"/>
              <w:right w:val="nil"/>
            </w:tcBorders>
            <w:shd w:val="clear" w:color="auto" w:fill="FBD4B4"/>
            <w:noWrap/>
            <w:vAlign w:val="bottom"/>
            <w:hideMark/>
          </w:tcPr>
          <w:p w:rsidR="00C070F5" w:rsidRPr="00253A09" w:rsidRDefault="00C070F5" w:rsidP="00FD5DD6">
            <w:pPr>
              <w:spacing w:after="0" w:line="240" w:lineRule="auto"/>
              <w:jc w:val="right"/>
              <w:rPr>
                <w:rFonts w:ascii="Calibri" w:eastAsia="Times New Roman" w:hAnsi="Calibri" w:cs="Calibri"/>
                <w:color w:val="000000"/>
                <w:lang w:eastAsia="en-GB"/>
              </w:rPr>
            </w:pPr>
          </w:p>
        </w:tc>
      </w:tr>
    </w:tbl>
    <w:p w:rsidR="00C070F5" w:rsidRPr="00253A09" w:rsidRDefault="00C070F5" w:rsidP="00C070F5">
      <w:pPr>
        <w:spacing w:after="0" w:line="240" w:lineRule="auto"/>
        <w:jc w:val="both"/>
        <w:rPr>
          <w:rFonts w:ascii="Arial" w:eastAsia="Calibri" w:hAnsi="Arial" w:cs="Arial"/>
          <w:b/>
          <w:sz w:val="20"/>
          <w:szCs w:val="20"/>
        </w:rPr>
      </w:pPr>
    </w:p>
    <w:p w:rsidR="00C070F5" w:rsidRDefault="00C070F5" w:rsidP="00C070F5">
      <w:pPr>
        <w:spacing w:after="0" w:line="240" w:lineRule="auto"/>
        <w:jc w:val="both"/>
        <w:rPr>
          <w:rFonts w:ascii="Arial" w:eastAsia="Calibri" w:hAnsi="Arial" w:cs="Arial"/>
        </w:rPr>
      </w:pPr>
    </w:p>
    <w:p w:rsidR="00C070F5" w:rsidRPr="006E22A9" w:rsidRDefault="00C070F5" w:rsidP="00C070F5">
      <w:pPr>
        <w:spacing w:after="0" w:line="240" w:lineRule="auto"/>
        <w:jc w:val="both"/>
        <w:rPr>
          <w:rFonts w:ascii="Arial" w:eastAsia="Calibri" w:hAnsi="Arial" w:cs="Arial"/>
          <w:b/>
        </w:rPr>
      </w:pPr>
      <w:r w:rsidRPr="006E22A9">
        <w:rPr>
          <w:rFonts w:ascii="Arial" w:eastAsia="Calibri" w:hAnsi="Arial" w:cs="Arial"/>
          <w:b/>
        </w:rPr>
        <w:t>Notes:</w:t>
      </w:r>
    </w:p>
    <w:p w:rsidR="00C070F5" w:rsidRPr="00C070F5" w:rsidRDefault="00C070F5" w:rsidP="00C070F5">
      <w:pPr>
        <w:spacing w:after="0" w:line="240" w:lineRule="auto"/>
        <w:jc w:val="both"/>
        <w:rPr>
          <w:rFonts w:ascii="Arial" w:eastAsia="Calibri" w:hAnsi="Arial" w:cs="Arial"/>
        </w:rPr>
      </w:pPr>
    </w:p>
    <w:p w:rsidR="00C070F5" w:rsidRPr="00C070F5" w:rsidRDefault="00C070F5" w:rsidP="00C070F5">
      <w:pPr>
        <w:pStyle w:val="ListParagraph"/>
        <w:numPr>
          <w:ilvl w:val="0"/>
          <w:numId w:val="2"/>
        </w:numPr>
        <w:spacing w:after="0" w:line="240" w:lineRule="auto"/>
        <w:jc w:val="both"/>
        <w:rPr>
          <w:rFonts w:ascii="Arial" w:eastAsia="Calibri" w:hAnsi="Arial" w:cs="Arial"/>
        </w:rPr>
      </w:pPr>
      <w:r w:rsidRPr="00C070F5">
        <w:rPr>
          <w:rFonts w:ascii="Arial" w:eastAsia="Calibri" w:hAnsi="Arial" w:cs="Arial"/>
        </w:rPr>
        <w:t xml:space="preserve">By means of context, the Force is required to provide statistics on time for compliance concerning FOI requests, FOI Internal Reviews and Subject Access Requests to the Information Commissioner’s Office (ICO), via the NPCC Central Referral Unit (CRU).  </w:t>
      </w:r>
      <w:r w:rsidRPr="00C070F5">
        <w:rPr>
          <w:rFonts w:ascii="Arial" w:eastAsia="Calibri" w:hAnsi="Arial" w:cs="Arial"/>
          <w:b/>
        </w:rPr>
        <w:t>The ICO expectation is at least 90% compliance.</w:t>
      </w:r>
      <w:r w:rsidRPr="00C070F5">
        <w:rPr>
          <w:rFonts w:ascii="Arial" w:eastAsia="Calibri" w:hAnsi="Arial" w:cs="Arial"/>
        </w:rPr>
        <w:t xml:space="preserve"> [</w:t>
      </w:r>
      <w:r w:rsidRPr="00C070F5">
        <w:rPr>
          <w:rFonts w:ascii="Arial" w:eastAsia="Calibri" w:hAnsi="Arial" w:cs="Arial"/>
          <w:i/>
        </w:rPr>
        <w:t>Legal Services undertake internal reviews</w:t>
      </w:r>
      <w:r w:rsidRPr="00C070F5">
        <w:rPr>
          <w:rFonts w:ascii="Arial" w:eastAsia="Calibri" w:hAnsi="Arial" w:cs="Arial"/>
        </w:rPr>
        <w:t xml:space="preserve">]. </w:t>
      </w:r>
    </w:p>
    <w:p w:rsidR="00C070F5" w:rsidRDefault="00C070F5" w:rsidP="00D20C8B">
      <w:pPr>
        <w:jc w:val="both"/>
        <w:rPr>
          <w:rFonts w:ascii="Arial" w:hAnsi="Arial" w:cs="Arial"/>
          <w:highlight w:val="yellow"/>
        </w:rPr>
      </w:pPr>
    </w:p>
    <w:p w:rsidR="006949C2" w:rsidRPr="003667DD" w:rsidRDefault="006949C2" w:rsidP="006949C2">
      <w:pPr>
        <w:jc w:val="both"/>
        <w:rPr>
          <w:rFonts w:ascii="Arial" w:hAnsi="Arial" w:cs="Arial"/>
          <w:b/>
        </w:rPr>
      </w:pPr>
      <w:r w:rsidRPr="003667DD">
        <w:rPr>
          <w:rFonts w:ascii="Arial" w:hAnsi="Arial" w:cs="Arial"/>
          <w:b/>
        </w:rPr>
        <w:t xml:space="preserve">Llamau </w:t>
      </w:r>
      <w:r>
        <w:rPr>
          <w:rFonts w:ascii="Arial" w:hAnsi="Arial" w:cs="Arial"/>
          <w:b/>
        </w:rPr>
        <w:t xml:space="preserve">Charity </w:t>
      </w:r>
      <w:r w:rsidRPr="003667DD">
        <w:rPr>
          <w:rFonts w:ascii="Arial" w:hAnsi="Arial" w:cs="Arial"/>
          <w:b/>
        </w:rPr>
        <w:t xml:space="preserve">– Requests for information </w:t>
      </w:r>
    </w:p>
    <w:p w:rsidR="006949C2" w:rsidRDefault="006949C2" w:rsidP="006949C2">
      <w:pPr>
        <w:jc w:val="both"/>
        <w:rPr>
          <w:rFonts w:ascii="Arial" w:hAnsi="Arial" w:cs="Arial"/>
        </w:rPr>
      </w:pPr>
    </w:p>
    <w:tbl>
      <w:tblPr>
        <w:tblW w:w="0" w:type="auto"/>
        <w:tblInd w:w="-294" w:type="dxa"/>
        <w:tblCellMar>
          <w:left w:w="0" w:type="dxa"/>
          <w:right w:w="0" w:type="dxa"/>
        </w:tblCellMar>
        <w:tblLook w:val="04A0" w:firstRow="1" w:lastRow="0" w:firstColumn="1" w:lastColumn="0" w:noHBand="0" w:noVBand="1"/>
      </w:tblPr>
      <w:tblGrid>
        <w:gridCol w:w="1560"/>
        <w:gridCol w:w="2268"/>
        <w:gridCol w:w="1985"/>
        <w:gridCol w:w="3487"/>
      </w:tblGrid>
      <w:tr w:rsidR="006949C2" w:rsidTr="00735738">
        <w:tc>
          <w:tcPr>
            <w:tcW w:w="156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6949C2" w:rsidRDefault="006949C2" w:rsidP="00735738">
            <w:pPr>
              <w:rPr>
                <w:b/>
                <w:bCs/>
                <w:color w:val="1F497D"/>
              </w:rPr>
            </w:pPr>
            <w:r>
              <w:rPr>
                <w:b/>
                <w:bCs/>
                <w:color w:val="1F497D"/>
              </w:rPr>
              <w:t>Month</w:t>
            </w:r>
          </w:p>
        </w:tc>
        <w:tc>
          <w:tcPr>
            <w:tcW w:w="2268"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6949C2" w:rsidRDefault="006949C2" w:rsidP="00735738">
            <w:pPr>
              <w:rPr>
                <w:b/>
                <w:bCs/>
                <w:color w:val="1F497D"/>
              </w:rPr>
            </w:pPr>
            <w:r>
              <w:rPr>
                <w:b/>
                <w:bCs/>
                <w:color w:val="1F497D"/>
              </w:rPr>
              <w:t>Missing child report</w:t>
            </w:r>
          </w:p>
        </w:tc>
        <w:tc>
          <w:tcPr>
            <w:tcW w:w="1985"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6949C2" w:rsidRDefault="006949C2" w:rsidP="00735738">
            <w:pPr>
              <w:rPr>
                <w:b/>
                <w:bCs/>
                <w:color w:val="1F497D"/>
              </w:rPr>
            </w:pPr>
            <w:r>
              <w:rPr>
                <w:b/>
                <w:bCs/>
                <w:color w:val="1F497D"/>
              </w:rPr>
              <w:t>Referral to Llamau</w:t>
            </w:r>
          </w:p>
        </w:tc>
        <w:tc>
          <w:tcPr>
            <w:tcW w:w="3487"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6949C2" w:rsidRDefault="006949C2" w:rsidP="00735738">
            <w:pPr>
              <w:rPr>
                <w:b/>
                <w:bCs/>
                <w:color w:val="1F497D"/>
              </w:rPr>
            </w:pPr>
            <w:r>
              <w:rPr>
                <w:b/>
                <w:bCs/>
                <w:color w:val="1F497D"/>
              </w:rPr>
              <w:t>Requests for packs and % of those referred</w:t>
            </w:r>
          </w:p>
        </w:tc>
      </w:tr>
      <w:tr w:rsidR="006949C2" w:rsidTr="00735738">
        <w:trPr>
          <w:trHeight w:val="361"/>
        </w:trPr>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June 2020</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60</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29</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29 (100%)</w:t>
            </w:r>
          </w:p>
        </w:tc>
      </w:tr>
      <w:tr w:rsidR="006949C2" w:rsidTr="00735738">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July</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73</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33</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33 (100%)</w:t>
            </w:r>
          </w:p>
        </w:tc>
      </w:tr>
      <w:tr w:rsidR="006949C2" w:rsidTr="00735738">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August *</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87</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42</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11 (26%) *New Process Introduced</w:t>
            </w:r>
          </w:p>
        </w:tc>
      </w:tr>
      <w:tr w:rsidR="006949C2" w:rsidTr="00735738">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September</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67</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42</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12 (28%)</w:t>
            </w:r>
          </w:p>
        </w:tc>
      </w:tr>
      <w:tr w:rsidR="006949C2" w:rsidTr="00735738">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October</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66</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33</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17 (52%)</w:t>
            </w:r>
          </w:p>
        </w:tc>
      </w:tr>
      <w:tr w:rsidR="006949C2" w:rsidTr="00735738">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November</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98</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49</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16 (32%)</w:t>
            </w:r>
          </w:p>
        </w:tc>
      </w:tr>
      <w:tr w:rsidR="006949C2" w:rsidTr="00735738">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December</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55</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19</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9 (48%)</w:t>
            </w:r>
          </w:p>
        </w:tc>
      </w:tr>
      <w:tr w:rsidR="006949C2" w:rsidTr="00735738">
        <w:trPr>
          <w:trHeight w:val="80"/>
        </w:trPr>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January 2021</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52</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23</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14 (61%)</w:t>
            </w:r>
          </w:p>
        </w:tc>
      </w:tr>
      <w:tr w:rsidR="006949C2" w:rsidTr="00735738">
        <w:tc>
          <w:tcPr>
            <w:tcW w:w="1560"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February 2021</w:t>
            </w:r>
          </w:p>
        </w:tc>
        <w:tc>
          <w:tcPr>
            <w:tcW w:w="2268"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37</w:t>
            </w:r>
          </w:p>
        </w:tc>
        <w:tc>
          <w:tcPr>
            <w:tcW w:w="1985"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6949C2" w:rsidRDefault="006949C2" w:rsidP="00735738">
            <w:pPr>
              <w:spacing w:after="0" w:line="240" w:lineRule="auto"/>
              <w:rPr>
                <w:color w:val="1F497D"/>
              </w:rPr>
            </w:pPr>
            <w:r>
              <w:rPr>
                <w:color w:val="1F497D"/>
              </w:rPr>
              <w:t>17</w:t>
            </w:r>
          </w:p>
        </w:tc>
        <w:tc>
          <w:tcPr>
            <w:tcW w:w="3487"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rsidR="006949C2" w:rsidRDefault="006949C2" w:rsidP="00735738">
            <w:pPr>
              <w:spacing w:after="0" w:line="240" w:lineRule="auto"/>
              <w:rPr>
                <w:color w:val="1F497D"/>
              </w:rPr>
            </w:pPr>
            <w:r>
              <w:rPr>
                <w:color w:val="1F497D"/>
              </w:rPr>
              <w:t>6 (35%)</w:t>
            </w:r>
          </w:p>
        </w:tc>
      </w:tr>
    </w:tbl>
    <w:p w:rsidR="006949C2" w:rsidRDefault="006949C2" w:rsidP="006949C2">
      <w:pPr>
        <w:rPr>
          <w:rFonts w:ascii="Calibri" w:hAnsi="Calibri" w:cs="Calibri"/>
          <w:color w:val="1F497D"/>
        </w:rPr>
      </w:pPr>
    </w:p>
    <w:p w:rsidR="006949C2" w:rsidRPr="008915A8" w:rsidRDefault="006949C2" w:rsidP="006949C2">
      <w:pPr>
        <w:jc w:val="both"/>
        <w:rPr>
          <w:rFonts w:ascii="Arial" w:hAnsi="Arial" w:cs="Arial"/>
          <w:b/>
        </w:rPr>
      </w:pPr>
      <w:r w:rsidRPr="008915A8">
        <w:rPr>
          <w:rFonts w:ascii="Arial" w:hAnsi="Arial" w:cs="Arial"/>
          <w:b/>
        </w:rPr>
        <w:t>Notes:</w:t>
      </w:r>
    </w:p>
    <w:p w:rsidR="006949C2" w:rsidRDefault="006949C2" w:rsidP="006949C2">
      <w:pPr>
        <w:pStyle w:val="ListParagraph"/>
        <w:numPr>
          <w:ilvl w:val="0"/>
          <w:numId w:val="7"/>
        </w:numPr>
        <w:jc w:val="both"/>
        <w:rPr>
          <w:rFonts w:ascii="Arial" w:hAnsi="Arial" w:cs="Arial"/>
        </w:rPr>
      </w:pPr>
      <w:r w:rsidRPr="001E2C82">
        <w:rPr>
          <w:rFonts w:ascii="Arial" w:hAnsi="Arial" w:cs="Arial"/>
        </w:rPr>
        <w:t xml:space="preserve">Work associated with the Data Protection action plan identified that Llamau were requesting information from the Disclosure Unit regardless of whether they were going to engage with the children who had been subject to a missing person episode, or not.  Following discussions with Llamau, it was agreed that they will only seek information where engagement is agreed.  This has proved to be successful as can be seen from the above table.  With the introduction of the new process where only those subject to de-briefs are to have intelligence packs requested. </w:t>
      </w:r>
    </w:p>
    <w:p w:rsidR="006949C2" w:rsidRDefault="006949C2" w:rsidP="006949C2">
      <w:pPr>
        <w:pStyle w:val="ListParagraph"/>
        <w:jc w:val="both"/>
        <w:rPr>
          <w:rFonts w:ascii="Arial" w:hAnsi="Arial" w:cs="Arial"/>
        </w:rPr>
      </w:pPr>
    </w:p>
    <w:p w:rsidR="006949C2" w:rsidRPr="001E2C82" w:rsidRDefault="006949C2" w:rsidP="006949C2">
      <w:pPr>
        <w:pStyle w:val="ListParagraph"/>
        <w:numPr>
          <w:ilvl w:val="0"/>
          <w:numId w:val="7"/>
        </w:numPr>
        <w:jc w:val="both"/>
        <w:rPr>
          <w:rFonts w:ascii="Arial" w:hAnsi="Arial" w:cs="Arial"/>
        </w:rPr>
      </w:pPr>
      <w:r w:rsidRPr="001E2C82">
        <w:rPr>
          <w:rFonts w:ascii="Arial" w:hAnsi="Arial" w:cs="Arial"/>
        </w:rPr>
        <w:t xml:space="preserve">Whilst the figures do fluctuate, the demand on the department has decreased significantly. Even in August and September during school holidays which is a traditionally busy period, only a quarter of Llamau referrals were processed by the Disclosure Unit. </w:t>
      </w:r>
    </w:p>
    <w:p w:rsidR="006949C2" w:rsidRDefault="006949C2" w:rsidP="009C013C">
      <w:pPr>
        <w:jc w:val="both"/>
        <w:rPr>
          <w:rFonts w:ascii="Arial" w:hAnsi="Arial" w:cs="Arial"/>
          <w:b/>
          <w:sz w:val="28"/>
          <w:szCs w:val="28"/>
          <w:highlight w:val="yellow"/>
        </w:rPr>
      </w:pPr>
    </w:p>
    <w:p w:rsidR="009C013C" w:rsidRPr="008407DD" w:rsidRDefault="009C013C" w:rsidP="009C013C">
      <w:pPr>
        <w:jc w:val="both"/>
        <w:rPr>
          <w:rFonts w:ascii="Arial" w:hAnsi="Arial" w:cs="Arial"/>
          <w:b/>
          <w:sz w:val="28"/>
          <w:szCs w:val="28"/>
        </w:rPr>
      </w:pPr>
      <w:r w:rsidRPr="008407DD">
        <w:rPr>
          <w:rFonts w:ascii="Arial" w:hAnsi="Arial" w:cs="Arial"/>
          <w:b/>
          <w:sz w:val="28"/>
          <w:szCs w:val="28"/>
        </w:rPr>
        <w:t xml:space="preserve">Data Protection Breaches </w:t>
      </w:r>
    </w:p>
    <w:p w:rsidR="0069395B" w:rsidRPr="008407DD" w:rsidRDefault="0069395B" w:rsidP="0069395B">
      <w:pPr>
        <w:jc w:val="both"/>
        <w:rPr>
          <w:rFonts w:ascii="Arial" w:hAnsi="Arial" w:cs="Arial"/>
          <w:b/>
          <w:u w:val="single"/>
        </w:rPr>
      </w:pPr>
      <w:r w:rsidRPr="008407DD">
        <w:rPr>
          <w:rFonts w:ascii="Arial" w:hAnsi="Arial" w:cs="Arial"/>
          <w:b/>
          <w:u w:val="single"/>
        </w:rPr>
        <w:t xml:space="preserve">Reporting Period </w:t>
      </w:r>
      <w:r w:rsidR="008407DD" w:rsidRPr="008407DD">
        <w:rPr>
          <w:rFonts w:ascii="Arial" w:hAnsi="Arial" w:cs="Arial"/>
          <w:b/>
          <w:u w:val="single"/>
        </w:rPr>
        <w:t xml:space="preserve">01 January 2021 to 19 March 2021 </w:t>
      </w:r>
      <w:r w:rsidRPr="008407DD">
        <w:rPr>
          <w:rFonts w:ascii="Arial" w:hAnsi="Arial" w:cs="Arial"/>
          <w:b/>
          <w:u w:val="single"/>
        </w:rPr>
        <w:t xml:space="preserve"> </w:t>
      </w:r>
    </w:p>
    <w:p w:rsidR="0069395B" w:rsidRPr="008407DD" w:rsidRDefault="00E30008" w:rsidP="0069395B">
      <w:pPr>
        <w:jc w:val="both"/>
        <w:rPr>
          <w:rFonts w:ascii="Arial" w:hAnsi="Arial" w:cs="Arial"/>
        </w:rPr>
      </w:pPr>
      <w:r w:rsidRPr="008407DD">
        <w:rPr>
          <w:rFonts w:ascii="Arial" w:hAnsi="Arial" w:cs="Arial"/>
        </w:rPr>
        <w:t xml:space="preserve">There have been </w:t>
      </w:r>
      <w:r w:rsidRPr="008407DD">
        <w:rPr>
          <w:rFonts w:ascii="Arial" w:hAnsi="Arial" w:cs="Arial"/>
          <w:b/>
        </w:rPr>
        <w:t xml:space="preserve">twenty </w:t>
      </w:r>
      <w:r w:rsidR="008407DD" w:rsidRPr="008407DD">
        <w:rPr>
          <w:rFonts w:ascii="Arial" w:hAnsi="Arial" w:cs="Arial"/>
          <w:b/>
        </w:rPr>
        <w:t>nine</w:t>
      </w:r>
      <w:r w:rsidR="008407DD" w:rsidRPr="008407DD">
        <w:rPr>
          <w:rFonts w:ascii="Arial" w:hAnsi="Arial" w:cs="Arial"/>
        </w:rPr>
        <w:t xml:space="preserve"> </w:t>
      </w:r>
      <w:r w:rsidR="0069395B" w:rsidRPr="008407DD">
        <w:rPr>
          <w:rFonts w:ascii="Arial" w:hAnsi="Arial" w:cs="Arial"/>
        </w:rPr>
        <w:t>potential Data Protection breaches record</w:t>
      </w:r>
      <w:r w:rsidR="008407DD" w:rsidRPr="008407DD">
        <w:rPr>
          <w:rFonts w:ascii="Arial" w:hAnsi="Arial" w:cs="Arial"/>
        </w:rPr>
        <w:t xml:space="preserve">ed since the previous report.  A number remain open and a number are being investigated by PSD. </w:t>
      </w:r>
      <w:r w:rsidR="003F78D9" w:rsidRPr="00DE2634">
        <w:rPr>
          <w:rFonts w:ascii="Arial" w:hAnsi="Arial" w:cs="Arial"/>
          <w:b/>
        </w:rPr>
        <w:t>Zero</w:t>
      </w:r>
      <w:r w:rsidR="003F78D9">
        <w:rPr>
          <w:rFonts w:ascii="Arial" w:hAnsi="Arial" w:cs="Arial"/>
        </w:rPr>
        <w:t xml:space="preserve"> breaches have met the threshold for self-referral to the Information Commissioner’s Office (ICO). Which demonstrates that they are low risk issues</w:t>
      </w:r>
      <w:r w:rsidR="008407DD" w:rsidRPr="008407DD">
        <w:rPr>
          <w:rFonts w:ascii="Arial" w:hAnsi="Arial" w:cs="Arial"/>
        </w:rPr>
        <w:t xml:space="preserve">. </w:t>
      </w:r>
      <w:r w:rsidR="0069395B" w:rsidRPr="008407DD">
        <w:rPr>
          <w:rFonts w:ascii="Arial" w:hAnsi="Arial" w:cs="Arial"/>
        </w:rPr>
        <w:t>[</w:t>
      </w:r>
      <w:r w:rsidR="0069395B" w:rsidRPr="008407DD">
        <w:rPr>
          <w:rFonts w:ascii="Arial" w:hAnsi="Arial" w:cs="Arial"/>
          <w:i/>
        </w:rPr>
        <w:t>Referral decisions to the ICO are based upon a national referral criteria matrix</w:t>
      </w:r>
      <w:r w:rsidR="0069395B" w:rsidRPr="008407DD">
        <w:rPr>
          <w:rFonts w:ascii="Arial" w:hAnsi="Arial" w:cs="Arial"/>
        </w:rPr>
        <w:t xml:space="preserve">]. </w:t>
      </w:r>
      <w:r w:rsidR="003F78D9" w:rsidRPr="00DE2634">
        <w:rPr>
          <w:rFonts w:ascii="Arial" w:hAnsi="Arial" w:cs="Arial"/>
          <w:b/>
        </w:rPr>
        <w:t xml:space="preserve">Eight </w:t>
      </w:r>
      <w:r w:rsidR="003F78D9">
        <w:rPr>
          <w:rFonts w:ascii="Arial" w:hAnsi="Arial" w:cs="Arial"/>
        </w:rPr>
        <w:t xml:space="preserve">breaches are currently under investigation by PSD, not all therefore are </w:t>
      </w:r>
      <w:r w:rsidR="00E07773">
        <w:rPr>
          <w:rFonts w:ascii="Arial" w:hAnsi="Arial" w:cs="Arial"/>
        </w:rPr>
        <w:t>proved</w:t>
      </w:r>
      <w:r w:rsidR="003F78D9">
        <w:rPr>
          <w:rFonts w:ascii="Arial" w:hAnsi="Arial" w:cs="Arial"/>
        </w:rPr>
        <w:t xml:space="preserve"> data protection breaches at this time.  Breaches continue to dominate a large amount of time for the Data Protection team. </w:t>
      </w:r>
    </w:p>
    <w:p w:rsidR="0069395B" w:rsidRPr="00766225" w:rsidRDefault="0069395B" w:rsidP="0069395B">
      <w:pPr>
        <w:jc w:val="both"/>
        <w:rPr>
          <w:rFonts w:ascii="Arial" w:hAnsi="Arial" w:cs="Arial"/>
          <w:highlight w:val="yellow"/>
        </w:rPr>
      </w:pPr>
    </w:p>
    <w:tbl>
      <w:tblPr>
        <w:tblStyle w:val="TableGrid"/>
        <w:tblW w:w="0" w:type="auto"/>
        <w:tblLook w:val="04A0" w:firstRow="1" w:lastRow="0" w:firstColumn="1" w:lastColumn="0" w:noHBand="0" w:noVBand="1"/>
      </w:tblPr>
      <w:tblGrid>
        <w:gridCol w:w="6799"/>
        <w:gridCol w:w="1134"/>
      </w:tblGrid>
      <w:tr w:rsidR="0069395B" w:rsidRPr="00766225" w:rsidTr="006C363A">
        <w:tc>
          <w:tcPr>
            <w:tcW w:w="6799" w:type="dxa"/>
            <w:shd w:val="clear" w:color="auto" w:fill="DEEAF6" w:themeFill="accent1" w:themeFillTint="33"/>
          </w:tcPr>
          <w:p w:rsidR="0069395B" w:rsidRPr="00C36CA2" w:rsidRDefault="0069395B" w:rsidP="006C363A">
            <w:pPr>
              <w:jc w:val="both"/>
              <w:rPr>
                <w:rFonts w:ascii="Arial" w:hAnsi="Arial" w:cs="Arial"/>
                <w:b/>
              </w:rPr>
            </w:pPr>
            <w:r w:rsidRPr="00C36CA2">
              <w:rPr>
                <w:rFonts w:ascii="Arial" w:hAnsi="Arial" w:cs="Arial"/>
                <w:b/>
              </w:rPr>
              <w:t xml:space="preserve">Nature of breach </w:t>
            </w:r>
          </w:p>
        </w:tc>
        <w:tc>
          <w:tcPr>
            <w:tcW w:w="1134" w:type="dxa"/>
            <w:shd w:val="clear" w:color="auto" w:fill="DEEAF6" w:themeFill="accent1" w:themeFillTint="33"/>
          </w:tcPr>
          <w:p w:rsidR="0069395B" w:rsidRPr="00C36CA2" w:rsidRDefault="0069395B" w:rsidP="006C363A">
            <w:pPr>
              <w:jc w:val="both"/>
              <w:rPr>
                <w:rFonts w:ascii="Arial" w:hAnsi="Arial" w:cs="Arial"/>
              </w:rPr>
            </w:pPr>
          </w:p>
        </w:tc>
      </w:tr>
      <w:tr w:rsidR="0069395B" w:rsidRPr="00766225" w:rsidTr="00C36CA2">
        <w:tc>
          <w:tcPr>
            <w:tcW w:w="6799" w:type="dxa"/>
            <w:shd w:val="clear" w:color="auto" w:fill="D5DCE4" w:themeFill="text2" w:themeFillTint="33"/>
          </w:tcPr>
          <w:p w:rsidR="0069395B" w:rsidRPr="00C36CA2" w:rsidRDefault="008407DD" w:rsidP="006C363A">
            <w:pPr>
              <w:jc w:val="both"/>
              <w:rPr>
                <w:rFonts w:ascii="Arial" w:hAnsi="Arial" w:cs="Arial"/>
              </w:rPr>
            </w:pPr>
            <w:r w:rsidRPr="00C36CA2">
              <w:rPr>
                <w:rFonts w:ascii="Arial" w:hAnsi="Arial" w:cs="Arial"/>
              </w:rPr>
              <w:t xml:space="preserve">Inappropriate processing </w:t>
            </w:r>
          </w:p>
        </w:tc>
        <w:tc>
          <w:tcPr>
            <w:tcW w:w="1134" w:type="dxa"/>
            <w:shd w:val="clear" w:color="auto" w:fill="D5DCE4" w:themeFill="text2" w:themeFillTint="33"/>
          </w:tcPr>
          <w:p w:rsidR="0069395B" w:rsidRPr="00C36CA2" w:rsidRDefault="008407DD" w:rsidP="006C363A">
            <w:pPr>
              <w:jc w:val="both"/>
              <w:rPr>
                <w:rFonts w:ascii="Arial" w:hAnsi="Arial" w:cs="Arial"/>
              </w:rPr>
            </w:pPr>
            <w:r w:rsidRPr="00C36CA2">
              <w:rPr>
                <w:rFonts w:ascii="Arial" w:hAnsi="Arial" w:cs="Arial"/>
              </w:rPr>
              <w:t>3</w:t>
            </w:r>
          </w:p>
        </w:tc>
      </w:tr>
      <w:tr w:rsidR="0069395B" w:rsidRPr="00766225" w:rsidTr="00C36CA2">
        <w:tc>
          <w:tcPr>
            <w:tcW w:w="6799" w:type="dxa"/>
            <w:shd w:val="clear" w:color="auto" w:fill="D5DCE4" w:themeFill="text2" w:themeFillTint="33"/>
          </w:tcPr>
          <w:p w:rsidR="0069395B" w:rsidRPr="00C36CA2" w:rsidRDefault="008407DD" w:rsidP="006C363A">
            <w:pPr>
              <w:jc w:val="both"/>
              <w:rPr>
                <w:rFonts w:ascii="Arial" w:hAnsi="Arial" w:cs="Arial"/>
              </w:rPr>
            </w:pPr>
            <w:r w:rsidRPr="00C36CA2">
              <w:rPr>
                <w:rFonts w:ascii="Arial" w:hAnsi="Arial" w:cs="Arial"/>
              </w:rPr>
              <w:t xml:space="preserve">E-mails/letters sent </w:t>
            </w:r>
            <w:r w:rsidR="0060330B" w:rsidRPr="00C36CA2">
              <w:rPr>
                <w:rFonts w:ascii="Arial" w:hAnsi="Arial" w:cs="Arial"/>
              </w:rPr>
              <w:t xml:space="preserve">to incorrect recipient </w:t>
            </w:r>
          </w:p>
        </w:tc>
        <w:tc>
          <w:tcPr>
            <w:tcW w:w="1134" w:type="dxa"/>
            <w:shd w:val="clear" w:color="auto" w:fill="D5DCE4" w:themeFill="text2" w:themeFillTint="33"/>
          </w:tcPr>
          <w:p w:rsidR="0069395B" w:rsidRPr="00C36CA2" w:rsidRDefault="0060330B" w:rsidP="006C363A">
            <w:pPr>
              <w:jc w:val="both"/>
              <w:rPr>
                <w:rFonts w:ascii="Arial" w:hAnsi="Arial" w:cs="Arial"/>
              </w:rPr>
            </w:pPr>
            <w:r w:rsidRPr="00C36CA2">
              <w:rPr>
                <w:rFonts w:ascii="Arial" w:hAnsi="Arial" w:cs="Arial"/>
              </w:rPr>
              <w:t>12</w:t>
            </w:r>
          </w:p>
        </w:tc>
      </w:tr>
      <w:tr w:rsidR="0069395B" w:rsidRPr="00766225" w:rsidTr="00C36CA2">
        <w:tc>
          <w:tcPr>
            <w:tcW w:w="6799" w:type="dxa"/>
            <w:shd w:val="clear" w:color="auto" w:fill="D5DCE4" w:themeFill="text2" w:themeFillTint="33"/>
          </w:tcPr>
          <w:p w:rsidR="0069395B" w:rsidRPr="00C36CA2" w:rsidRDefault="00823E20" w:rsidP="006C363A">
            <w:pPr>
              <w:jc w:val="both"/>
              <w:rPr>
                <w:rFonts w:ascii="Arial" w:hAnsi="Arial" w:cs="Arial"/>
              </w:rPr>
            </w:pPr>
            <w:r w:rsidRPr="00C36CA2">
              <w:rPr>
                <w:rFonts w:ascii="Arial" w:hAnsi="Arial" w:cs="Arial"/>
              </w:rPr>
              <w:t>Inappropriate</w:t>
            </w:r>
            <w:r w:rsidR="0060330B" w:rsidRPr="00C36CA2">
              <w:rPr>
                <w:rFonts w:ascii="Arial" w:hAnsi="Arial" w:cs="Arial"/>
              </w:rPr>
              <w:t xml:space="preserve"> access of personal </w:t>
            </w:r>
            <w:r w:rsidRPr="00C36CA2">
              <w:rPr>
                <w:rFonts w:ascii="Arial" w:hAnsi="Arial" w:cs="Arial"/>
              </w:rPr>
              <w:t>information</w:t>
            </w:r>
            <w:r w:rsidR="0060330B" w:rsidRPr="00C36CA2">
              <w:rPr>
                <w:rFonts w:ascii="Arial" w:hAnsi="Arial" w:cs="Arial"/>
              </w:rPr>
              <w:t xml:space="preserve"> </w:t>
            </w:r>
          </w:p>
        </w:tc>
        <w:tc>
          <w:tcPr>
            <w:tcW w:w="1134" w:type="dxa"/>
            <w:shd w:val="clear" w:color="auto" w:fill="D5DCE4" w:themeFill="text2" w:themeFillTint="33"/>
          </w:tcPr>
          <w:p w:rsidR="0069395B" w:rsidRPr="00C36CA2" w:rsidRDefault="0060330B" w:rsidP="006C363A">
            <w:pPr>
              <w:jc w:val="both"/>
              <w:rPr>
                <w:rFonts w:ascii="Arial" w:hAnsi="Arial" w:cs="Arial"/>
              </w:rPr>
            </w:pPr>
            <w:r w:rsidRPr="00C36CA2">
              <w:rPr>
                <w:rFonts w:ascii="Arial" w:hAnsi="Arial" w:cs="Arial"/>
              </w:rPr>
              <w:t>1</w:t>
            </w:r>
          </w:p>
        </w:tc>
      </w:tr>
      <w:tr w:rsidR="0069395B" w:rsidRPr="00766225" w:rsidTr="00C36CA2">
        <w:tc>
          <w:tcPr>
            <w:tcW w:w="6799" w:type="dxa"/>
            <w:shd w:val="clear" w:color="auto" w:fill="D5DCE4" w:themeFill="text2" w:themeFillTint="33"/>
          </w:tcPr>
          <w:p w:rsidR="0069395B" w:rsidRPr="00C36CA2" w:rsidRDefault="0060330B" w:rsidP="006C363A">
            <w:pPr>
              <w:jc w:val="both"/>
              <w:rPr>
                <w:rFonts w:ascii="Arial" w:hAnsi="Arial" w:cs="Arial"/>
              </w:rPr>
            </w:pPr>
            <w:r w:rsidRPr="00C36CA2">
              <w:rPr>
                <w:rFonts w:ascii="Arial" w:hAnsi="Arial" w:cs="Arial"/>
              </w:rPr>
              <w:t>Inappropriate sharing/disclose of information</w:t>
            </w:r>
          </w:p>
        </w:tc>
        <w:tc>
          <w:tcPr>
            <w:tcW w:w="1134" w:type="dxa"/>
            <w:shd w:val="clear" w:color="auto" w:fill="D5DCE4" w:themeFill="text2" w:themeFillTint="33"/>
          </w:tcPr>
          <w:p w:rsidR="0069395B" w:rsidRPr="00C36CA2" w:rsidRDefault="00823E20" w:rsidP="006C363A">
            <w:pPr>
              <w:jc w:val="both"/>
              <w:rPr>
                <w:rFonts w:ascii="Arial" w:hAnsi="Arial" w:cs="Arial"/>
              </w:rPr>
            </w:pPr>
            <w:r w:rsidRPr="00C36CA2">
              <w:rPr>
                <w:rFonts w:ascii="Arial" w:hAnsi="Arial" w:cs="Arial"/>
              </w:rPr>
              <w:t>13</w:t>
            </w:r>
          </w:p>
        </w:tc>
      </w:tr>
      <w:tr w:rsidR="00C36CA2" w:rsidRPr="00C36CA2" w:rsidTr="00C36CA2">
        <w:tc>
          <w:tcPr>
            <w:tcW w:w="6799" w:type="dxa"/>
            <w:shd w:val="clear" w:color="auto" w:fill="8EAADB" w:themeFill="accent5" w:themeFillTint="99"/>
          </w:tcPr>
          <w:p w:rsidR="00C36CA2" w:rsidRPr="00C36CA2" w:rsidRDefault="00C36CA2" w:rsidP="006C363A">
            <w:pPr>
              <w:jc w:val="both"/>
              <w:rPr>
                <w:rFonts w:ascii="Arial" w:hAnsi="Arial" w:cs="Arial"/>
                <w:b/>
              </w:rPr>
            </w:pPr>
            <w:r w:rsidRPr="00C36CA2">
              <w:rPr>
                <w:rFonts w:ascii="Arial" w:hAnsi="Arial" w:cs="Arial"/>
                <w:b/>
              </w:rPr>
              <w:t xml:space="preserve">Total </w:t>
            </w:r>
          </w:p>
        </w:tc>
        <w:tc>
          <w:tcPr>
            <w:tcW w:w="1134" w:type="dxa"/>
            <w:shd w:val="clear" w:color="auto" w:fill="8EAADB" w:themeFill="accent5" w:themeFillTint="99"/>
          </w:tcPr>
          <w:p w:rsidR="00C36CA2" w:rsidRPr="00C36CA2" w:rsidRDefault="00C36CA2" w:rsidP="006C363A">
            <w:pPr>
              <w:jc w:val="both"/>
              <w:rPr>
                <w:rFonts w:ascii="Arial" w:hAnsi="Arial" w:cs="Arial"/>
                <w:b/>
              </w:rPr>
            </w:pPr>
            <w:r w:rsidRPr="00C36CA2">
              <w:rPr>
                <w:rFonts w:ascii="Arial" w:hAnsi="Arial" w:cs="Arial"/>
                <w:b/>
              </w:rPr>
              <w:t>29</w:t>
            </w:r>
          </w:p>
        </w:tc>
      </w:tr>
    </w:tbl>
    <w:p w:rsidR="00823E20" w:rsidRPr="00C36CA2" w:rsidRDefault="00823E20" w:rsidP="00823E20">
      <w:pPr>
        <w:jc w:val="both"/>
        <w:rPr>
          <w:rFonts w:ascii="Trebuchet MS" w:hAnsi="Trebuchet MS"/>
          <w:b/>
        </w:rPr>
      </w:pPr>
    </w:p>
    <w:p w:rsidR="003F78D9" w:rsidRPr="00C36CA2" w:rsidRDefault="003F78D9" w:rsidP="003F78D9">
      <w:pPr>
        <w:rPr>
          <w:rFonts w:ascii="Arial" w:hAnsi="Arial" w:cs="Arial"/>
          <w:b/>
          <w:u w:val="single"/>
        </w:rPr>
      </w:pPr>
      <w:r w:rsidRPr="00C36CA2">
        <w:rPr>
          <w:rFonts w:ascii="Arial" w:hAnsi="Arial" w:cs="Arial"/>
          <w:b/>
          <w:u w:val="single"/>
        </w:rPr>
        <w:t>Sing</w:t>
      </w:r>
      <w:r w:rsidR="00C36CA2">
        <w:rPr>
          <w:rFonts w:ascii="Arial" w:hAnsi="Arial" w:cs="Arial"/>
          <w:b/>
          <w:u w:val="single"/>
        </w:rPr>
        <w:t>l</w:t>
      </w:r>
      <w:r w:rsidRPr="00C36CA2">
        <w:rPr>
          <w:rFonts w:ascii="Arial" w:hAnsi="Arial" w:cs="Arial"/>
          <w:b/>
          <w:u w:val="single"/>
        </w:rPr>
        <w:t>e Online Home</w:t>
      </w:r>
    </w:p>
    <w:p w:rsidR="003F78D9" w:rsidRPr="00C36CA2" w:rsidRDefault="003F78D9" w:rsidP="00C36CA2">
      <w:pPr>
        <w:jc w:val="both"/>
        <w:rPr>
          <w:rFonts w:ascii="Arial" w:hAnsi="Arial" w:cs="Arial"/>
        </w:rPr>
      </w:pPr>
      <w:r w:rsidRPr="00C36CA2">
        <w:rPr>
          <w:rFonts w:ascii="Arial" w:hAnsi="Arial" w:cs="Arial"/>
        </w:rPr>
        <w:t xml:space="preserve">Four of the breaches discussed above are related to Single Online Home (SOH). An increase in breaches being reported by the Force Communications Centre (FCC) has been noted. This is as a result of members of staff responding to incidents being reported via an online form. If members of the public, intentionally or unintentionally, provide an incorrect email address – the response from FCC staff (possibly containing sensitive information) can be sent to the wrong recipient. This has been raised with the SOH </w:t>
      </w:r>
      <w:r w:rsidR="00C36CA2">
        <w:rPr>
          <w:rFonts w:ascii="Arial" w:hAnsi="Arial" w:cs="Arial"/>
        </w:rPr>
        <w:t>P</w:t>
      </w:r>
      <w:r w:rsidRPr="00C36CA2">
        <w:rPr>
          <w:rFonts w:ascii="Arial" w:hAnsi="Arial" w:cs="Arial"/>
        </w:rPr>
        <w:t xml:space="preserve">roject Team and enquiries being made nationally, with a view to raising it with the national SOH </w:t>
      </w:r>
      <w:r w:rsidR="00E07773">
        <w:rPr>
          <w:rFonts w:ascii="Arial" w:hAnsi="Arial" w:cs="Arial"/>
        </w:rPr>
        <w:t>Project Team</w:t>
      </w:r>
      <w:r w:rsidRPr="00C36CA2">
        <w:rPr>
          <w:rFonts w:ascii="Arial" w:hAnsi="Arial" w:cs="Arial"/>
        </w:rPr>
        <w:t xml:space="preserve">.  </w:t>
      </w:r>
    </w:p>
    <w:p w:rsidR="00823E20" w:rsidRPr="00C36CA2" w:rsidRDefault="00C36CA2" w:rsidP="00C36CA2">
      <w:pPr>
        <w:jc w:val="both"/>
        <w:rPr>
          <w:rFonts w:ascii="Arial" w:hAnsi="Arial" w:cs="Arial"/>
          <w:b/>
          <w:szCs w:val="20"/>
          <w:highlight w:val="yellow"/>
          <w:u w:val="single"/>
        </w:rPr>
      </w:pPr>
      <w:r w:rsidRPr="00C36CA2">
        <w:rPr>
          <w:rFonts w:ascii="Arial" w:hAnsi="Arial" w:cs="Arial"/>
        </w:rPr>
        <w:t>W</w:t>
      </w:r>
      <w:r w:rsidR="003F78D9" w:rsidRPr="00C36CA2">
        <w:rPr>
          <w:rFonts w:ascii="Arial" w:hAnsi="Arial" w:cs="Arial"/>
        </w:rPr>
        <w:t xml:space="preserve">ith the current process in place, with no verification of email addresses required, FCC staff cannot control what members of the public input into the email field of </w:t>
      </w:r>
      <w:r w:rsidRPr="00C36CA2">
        <w:rPr>
          <w:rFonts w:ascii="Arial" w:hAnsi="Arial" w:cs="Arial"/>
        </w:rPr>
        <w:t xml:space="preserve">the online </w:t>
      </w:r>
      <w:r w:rsidRPr="00DE2634">
        <w:rPr>
          <w:rFonts w:ascii="Arial" w:hAnsi="Arial" w:cs="Arial"/>
        </w:rPr>
        <w:t xml:space="preserve">form </w:t>
      </w:r>
      <w:r w:rsidR="003F78D9" w:rsidRPr="00DE2634">
        <w:rPr>
          <w:rFonts w:ascii="Arial" w:hAnsi="Arial" w:cs="Arial"/>
        </w:rPr>
        <w:t>and are unaware if the email address provided is correct when they provide their response.</w:t>
      </w:r>
      <w:r w:rsidRPr="00DE2634">
        <w:rPr>
          <w:rFonts w:ascii="Arial" w:hAnsi="Arial" w:cs="Arial"/>
        </w:rPr>
        <w:t xml:space="preserve"> This matter is included on the Information Risk Register.</w:t>
      </w:r>
      <w:r w:rsidRPr="00C36CA2">
        <w:rPr>
          <w:rFonts w:ascii="Arial" w:hAnsi="Arial" w:cs="Arial"/>
        </w:rPr>
        <w:t xml:space="preserve"> </w:t>
      </w:r>
    </w:p>
    <w:p w:rsidR="00823E20" w:rsidRDefault="00823E20" w:rsidP="0069395B">
      <w:pPr>
        <w:rPr>
          <w:rFonts w:ascii="Arial" w:hAnsi="Arial" w:cs="Arial"/>
          <w:b/>
          <w:szCs w:val="20"/>
          <w:highlight w:val="yellow"/>
          <w:u w:val="single"/>
        </w:rPr>
      </w:pPr>
    </w:p>
    <w:p w:rsidR="00814331" w:rsidRDefault="00814331" w:rsidP="0069395B">
      <w:pPr>
        <w:rPr>
          <w:rFonts w:ascii="Arial" w:hAnsi="Arial" w:cs="Arial"/>
          <w:b/>
          <w:szCs w:val="20"/>
          <w:highlight w:val="yellow"/>
          <w:u w:val="single"/>
        </w:rPr>
      </w:pPr>
    </w:p>
    <w:p w:rsidR="00814331" w:rsidRPr="00766225" w:rsidRDefault="00814331" w:rsidP="0069395B">
      <w:pPr>
        <w:rPr>
          <w:rFonts w:ascii="Arial" w:hAnsi="Arial" w:cs="Arial"/>
          <w:b/>
          <w:szCs w:val="20"/>
          <w:highlight w:val="yellow"/>
          <w:u w:val="single"/>
        </w:rPr>
      </w:pPr>
    </w:p>
    <w:p w:rsidR="008915A8" w:rsidRPr="00FF5DC1" w:rsidRDefault="008915A8" w:rsidP="008915A8">
      <w:pPr>
        <w:rPr>
          <w:rFonts w:ascii="Arial" w:hAnsi="Arial" w:cs="Arial"/>
          <w:b/>
          <w:sz w:val="28"/>
          <w:szCs w:val="28"/>
        </w:rPr>
      </w:pPr>
      <w:r w:rsidRPr="00FF5DC1">
        <w:rPr>
          <w:rFonts w:ascii="Arial" w:hAnsi="Arial" w:cs="Arial"/>
          <w:b/>
          <w:sz w:val="28"/>
          <w:szCs w:val="28"/>
        </w:rPr>
        <w:t xml:space="preserve">Records Management </w:t>
      </w:r>
    </w:p>
    <w:p w:rsidR="008915A8" w:rsidRPr="00FF5DC1" w:rsidRDefault="008915A8" w:rsidP="008915A8">
      <w:pPr>
        <w:rPr>
          <w:rFonts w:ascii="Arial" w:hAnsi="Arial" w:cs="Arial"/>
          <w:b/>
        </w:rPr>
      </w:pPr>
      <w:r w:rsidRPr="00FF5DC1">
        <w:rPr>
          <w:rFonts w:ascii="Arial" w:hAnsi="Arial" w:cs="Arial"/>
          <w:b/>
        </w:rPr>
        <w:t xml:space="preserve">Scanning Project </w:t>
      </w:r>
    </w:p>
    <w:p w:rsidR="008915A8" w:rsidRPr="001D6D12" w:rsidRDefault="008915A8" w:rsidP="001D6D12">
      <w:pPr>
        <w:spacing w:after="0" w:line="240" w:lineRule="auto"/>
        <w:jc w:val="both"/>
        <w:rPr>
          <w:rFonts w:ascii="Arial" w:hAnsi="Arial" w:cs="Arial"/>
        </w:rPr>
      </w:pPr>
      <w:r w:rsidRPr="001D6D12">
        <w:rPr>
          <w:rFonts w:ascii="Arial" w:hAnsi="Arial" w:cs="Arial"/>
        </w:rPr>
        <w:t xml:space="preserve">The scanning project (anticipated completion was November 2020) has been particularly delayed as a result of the series of Covid lockdowns. </w:t>
      </w:r>
      <w:r w:rsidR="001D6D12" w:rsidRPr="001D6D12">
        <w:rPr>
          <w:rFonts w:ascii="Arial" w:hAnsi="Arial" w:cs="Arial"/>
        </w:rPr>
        <w:t xml:space="preserve">Two members of staff will continue reviewing </w:t>
      </w:r>
      <w:r w:rsidRPr="001D6D12">
        <w:rPr>
          <w:rFonts w:ascii="Arial" w:hAnsi="Arial" w:cs="Arial"/>
        </w:rPr>
        <w:t xml:space="preserve">paper records and conducting the requisite scanning. As things stand currently it is hoped that the scanning work can be completed </w:t>
      </w:r>
      <w:r w:rsidR="001D6D12" w:rsidRPr="001D6D12">
        <w:rPr>
          <w:rFonts w:ascii="Arial" w:hAnsi="Arial" w:cs="Arial"/>
        </w:rPr>
        <w:t xml:space="preserve">within the next fortnight. </w:t>
      </w:r>
      <w:r w:rsidRPr="001D6D12">
        <w:rPr>
          <w:rFonts w:ascii="Arial" w:hAnsi="Arial" w:cs="Arial"/>
        </w:rPr>
        <w:t xml:space="preserve"> </w:t>
      </w:r>
      <w:r w:rsidR="00814331">
        <w:rPr>
          <w:rFonts w:ascii="Arial" w:hAnsi="Arial" w:cs="Arial"/>
        </w:rPr>
        <w:t>Pockets of d</w:t>
      </w:r>
      <w:r w:rsidR="001D6D12" w:rsidRPr="001D6D12">
        <w:rPr>
          <w:rFonts w:ascii="Arial" w:hAnsi="Arial" w:cs="Arial"/>
        </w:rPr>
        <w:t>a</w:t>
      </w:r>
      <w:r w:rsidR="00814331">
        <w:rPr>
          <w:rFonts w:ascii="Arial" w:hAnsi="Arial" w:cs="Arial"/>
        </w:rPr>
        <w:t>ta continue to be unearthed in s</w:t>
      </w:r>
      <w:r w:rsidR="001D6D12" w:rsidRPr="001D6D12">
        <w:rPr>
          <w:rFonts w:ascii="Arial" w:hAnsi="Arial" w:cs="Arial"/>
        </w:rPr>
        <w:t>tations and as these materialise they will be subject to the same process moving forward.</w:t>
      </w:r>
    </w:p>
    <w:p w:rsidR="006E22A9" w:rsidRPr="00A07DE7" w:rsidRDefault="006E22A9" w:rsidP="008915A8">
      <w:pPr>
        <w:jc w:val="both"/>
        <w:rPr>
          <w:rFonts w:ascii="Arial" w:hAnsi="Arial" w:cs="Arial"/>
        </w:rPr>
      </w:pPr>
    </w:p>
    <w:p w:rsidR="008915A8" w:rsidRPr="00A07DE7" w:rsidRDefault="008915A8" w:rsidP="008915A8">
      <w:pPr>
        <w:jc w:val="both"/>
        <w:rPr>
          <w:rFonts w:ascii="Arial" w:hAnsi="Arial" w:cs="Arial"/>
          <w:b/>
        </w:rPr>
      </w:pPr>
      <w:r w:rsidRPr="00A07DE7">
        <w:rPr>
          <w:rFonts w:ascii="Arial" w:hAnsi="Arial" w:cs="Arial"/>
          <w:b/>
        </w:rPr>
        <w:t xml:space="preserve">PNI Matching </w:t>
      </w:r>
    </w:p>
    <w:p w:rsidR="008915A8" w:rsidRDefault="008915A8" w:rsidP="008915A8">
      <w:pPr>
        <w:jc w:val="both"/>
        <w:rPr>
          <w:rFonts w:ascii="Arial" w:hAnsi="Arial" w:cs="Arial"/>
        </w:rPr>
      </w:pPr>
      <w:r w:rsidRPr="00A07DE7">
        <w:rPr>
          <w:rFonts w:ascii="Arial" w:hAnsi="Arial" w:cs="Arial"/>
        </w:rPr>
        <w:t xml:space="preserve">Work on the PNI duplicate matching has progressed at pace, particularly as staff have been redeployed from the scanning project to this work stream while they are working from home. Additionally staff from other departments have been assisting the Records Management team as a result of COVID restrictions. There are now approximately </w:t>
      </w:r>
      <w:r w:rsidR="001D6D12">
        <w:rPr>
          <w:rFonts w:ascii="Arial" w:hAnsi="Arial" w:cs="Arial"/>
        </w:rPr>
        <w:t xml:space="preserve">4,840 </w:t>
      </w:r>
      <w:r w:rsidRPr="00A07DE7">
        <w:rPr>
          <w:rFonts w:ascii="Arial" w:hAnsi="Arial" w:cs="Arial"/>
        </w:rPr>
        <w:t>Group 2 nominals which remain to be examined</w:t>
      </w:r>
      <w:r w:rsidR="001D6D12">
        <w:rPr>
          <w:rFonts w:ascii="Arial" w:hAnsi="Arial" w:cs="Arial"/>
        </w:rPr>
        <w:t xml:space="preserve">, reducing on average </w:t>
      </w:r>
      <w:r w:rsidR="00814331">
        <w:rPr>
          <w:rFonts w:ascii="Arial" w:hAnsi="Arial" w:cs="Arial"/>
        </w:rPr>
        <w:t>at</w:t>
      </w:r>
      <w:r w:rsidR="001D6D12">
        <w:rPr>
          <w:rFonts w:ascii="Arial" w:hAnsi="Arial" w:cs="Arial"/>
        </w:rPr>
        <w:t xml:space="preserve"> 600 a week. </w:t>
      </w:r>
      <w:r w:rsidRPr="00A07DE7">
        <w:rPr>
          <w:rFonts w:ascii="Arial" w:hAnsi="Arial" w:cs="Arial"/>
        </w:rPr>
        <w:t xml:space="preserve"> </w:t>
      </w:r>
    </w:p>
    <w:p w:rsidR="00814331" w:rsidRDefault="00814331" w:rsidP="008915A8">
      <w:pPr>
        <w:jc w:val="both"/>
        <w:rPr>
          <w:rFonts w:ascii="Arial" w:hAnsi="Arial" w:cs="Arial"/>
        </w:rPr>
      </w:pPr>
      <w:r>
        <w:rPr>
          <w:rFonts w:ascii="Arial" w:hAnsi="Arial" w:cs="Arial"/>
        </w:rPr>
        <w:t xml:space="preserve">Work continues in conjunction with ICT to finalise the Records Reviewing and Disposal (RRD) process it is hoped that this will be finalised and fit for purpose to coincide with the conclusion of the MOPI 2 matching process. </w:t>
      </w:r>
    </w:p>
    <w:p w:rsidR="001D6D12" w:rsidRPr="00A07DE7" w:rsidRDefault="00085775" w:rsidP="008915A8">
      <w:pPr>
        <w:jc w:val="both"/>
        <w:rPr>
          <w:rFonts w:ascii="Arial" w:hAnsi="Arial" w:cs="Arial"/>
        </w:rPr>
      </w:pPr>
      <w:r>
        <w:rPr>
          <w:rFonts w:ascii="Arial" w:hAnsi="Arial" w:cs="Arial"/>
        </w:rPr>
        <w:t>Following a</w:t>
      </w:r>
      <w:r w:rsidR="00814331">
        <w:rPr>
          <w:rFonts w:ascii="Arial" w:hAnsi="Arial" w:cs="Arial"/>
        </w:rPr>
        <w:t>n external</w:t>
      </w:r>
      <w:r>
        <w:rPr>
          <w:rFonts w:ascii="Arial" w:hAnsi="Arial" w:cs="Arial"/>
        </w:rPr>
        <w:t xml:space="preserve"> data assurance audit a</w:t>
      </w:r>
      <w:r w:rsidR="001D6D12">
        <w:rPr>
          <w:rFonts w:ascii="Arial" w:hAnsi="Arial" w:cs="Arial"/>
        </w:rPr>
        <w:t xml:space="preserve"> member </w:t>
      </w:r>
      <w:r>
        <w:rPr>
          <w:rFonts w:ascii="Arial" w:hAnsi="Arial" w:cs="Arial"/>
        </w:rPr>
        <w:t>of</w:t>
      </w:r>
      <w:r w:rsidR="001D6D12">
        <w:rPr>
          <w:rFonts w:ascii="Arial" w:hAnsi="Arial" w:cs="Arial"/>
        </w:rPr>
        <w:t xml:space="preserve"> staff from the Records Management Team will be assisting in the review of communications data </w:t>
      </w:r>
      <w:r>
        <w:rPr>
          <w:rFonts w:ascii="Arial" w:hAnsi="Arial" w:cs="Arial"/>
        </w:rPr>
        <w:t xml:space="preserve">to support CID. </w:t>
      </w:r>
      <w:r w:rsidR="001D6D12">
        <w:rPr>
          <w:rFonts w:ascii="Arial" w:hAnsi="Arial" w:cs="Arial"/>
        </w:rPr>
        <w:t xml:space="preserve">A temporary resource has been </w:t>
      </w:r>
      <w:r>
        <w:rPr>
          <w:rFonts w:ascii="Arial" w:hAnsi="Arial" w:cs="Arial"/>
        </w:rPr>
        <w:t>approved</w:t>
      </w:r>
      <w:r w:rsidR="001D6D12">
        <w:rPr>
          <w:rFonts w:ascii="Arial" w:hAnsi="Arial" w:cs="Arial"/>
        </w:rPr>
        <w:t xml:space="preserve"> to backfill</w:t>
      </w:r>
      <w:r w:rsidR="00814331">
        <w:rPr>
          <w:rFonts w:ascii="Arial" w:hAnsi="Arial" w:cs="Arial"/>
        </w:rPr>
        <w:t xml:space="preserve"> within the Records Management team. </w:t>
      </w:r>
      <w:r>
        <w:rPr>
          <w:rFonts w:ascii="Arial" w:hAnsi="Arial" w:cs="Arial"/>
        </w:rPr>
        <w:t xml:space="preserve">. </w:t>
      </w:r>
      <w:r w:rsidR="001D6D12">
        <w:rPr>
          <w:rFonts w:ascii="Arial" w:hAnsi="Arial" w:cs="Arial"/>
        </w:rPr>
        <w:t xml:space="preserve"> </w:t>
      </w:r>
    </w:p>
    <w:sectPr w:rsidR="001D6D12" w:rsidRPr="00A07DE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AE" w:rsidRDefault="00C119AE" w:rsidP="00132B8B">
      <w:pPr>
        <w:spacing w:after="0" w:line="240" w:lineRule="auto"/>
      </w:pPr>
      <w:r>
        <w:separator/>
      </w:r>
    </w:p>
  </w:endnote>
  <w:endnote w:type="continuationSeparator" w:id="0">
    <w:p w:rsidR="00C119AE" w:rsidRDefault="00C119AE" w:rsidP="0013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8B" w:rsidRPr="00132B8B" w:rsidRDefault="00132B8B" w:rsidP="00132B8B">
    <w:pPr>
      <w:pStyle w:val="Footer"/>
      <w:jc w:val="center"/>
      <w:rPr>
        <w:b/>
      </w:rPr>
    </w:pPr>
    <w:r w:rsidRPr="00132B8B">
      <w:rPr>
        <w:b/>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AE" w:rsidRDefault="00C119AE" w:rsidP="00132B8B">
      <w:pPr>
        <w:spacing w:after="0" w:line="240" w:lineRule="auto"/>
      </w:pPr>
      <w:r>
        <w:separator/>
      </w:r>
    </w:p>
  </w:footnote>
  <w:footnote w:type="continuationSeparator" w:id="0">
    <w:p w:rsidR="00C119AE" w:rsidRDefault="00C119AE" w:rsidP="00132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8B" w:rsidRPr="00132B8B" w:rsidRDefault="00C119AE" w:rsidP="00132B8B">
    <w:pPr>
      <w:pStyle w:val="Header"/>
      <w:jc w:val="center"/>
      <w:rPr>
        <w:rFonts w:ascii="Arial" w:hAnsi="Arial" w:cs="Arial"/>
        <w:b/>
      </w:rPr>
    </w:pPr>
    <w:sdt>
      <w:sdtPr>
        <w:rPr>
          <w:rFonts w:ascii="Arial" w:hAnsi="Arial" w:cs="Arial"/>
          <w:b/>
        </w:rPr>
        <w:id w:val="955829023"/>
        <w:docPartObj>
          <w:docPartGallery w:val="Page Numbers (Margins)"/>
          <w:docPartUnique/>
        </w:docPartObj>
      </w:sdtPr>
      <w:sdtEndPr/>
      <w:sdtContent>
        <w:r w:rsidR="00132B8B" w:rsidRPr="00132B8B">
          <w:rPr>
            <w:rFonts w:ascii="Arial" w:hAnsi="Arial" w:cs="Arial"/>
            <w:b/>
            <w:noProof/>
            <w:lang w:eastAsia="en-GB"/>
          </w:rPr>
          <mc:AlternateContent>
            <mc:Choice Requires="wps">
              <w:drawing>
                <wp:anchor distT="0" distB="0" distL="114300" distR="114300" simplePos="0" relativeHeight="251661312" behindDoc="0" locked="0" layoutInCell="0" allowOverlap="1" wp14:anchorId="64425F17" wp14:editId="6146E67F">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B8B" w:rsidRDefault="00132B8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A4169">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4425F17" id="Rectangle 1" o:spid="_x0000_s1026" style="position:absolute;left:0;text-align:left;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132B8B" w:rsidRDefault="00132B8B">
                        <w:pPr>
                          <w:pBdr>
                            <w:top w:val="single" w:sz="4" w:space="1" w:color="D8D8D8" w:themeColor="background1" w:themeShade="D8"/>
                          </w:pBdr>
                        </w:pPr>
                        <w:r>
                          <w:t xml:space="preserve">Page | </w:t>
                        </w:r>
                        <w:r>
                          <w:fldChar w:fldCharType="begin"/>
                        </w:r>
                        <w:r>
                          <w:instrText xml:space="preserve"> PAGE   \* MERGEFORMAT </w:instrText>
                        </w:r>
                        <w:r>
                          <w:fldChar w:fldCharType="separate"/>
                        </w:r>
                        <w:r w:rsidR="00EA4169">
                          <w:rPr>
                            <w:noProof/>
                          </w:rPr>
                          <w:t>1</w:t>
                        </w:r>
                        <w:r>
                          <w:rPr>
                            <w:noProof/>
                          </w:rPr>
                          <w:fldChar w:fldCharType="end"/>
                        </w:r>
                      </w:p>
                    </w:txbxContent>
                  </v:textbox>
                  <w10:wrap anchorx="margin" anchory="margin"/>
                </v:rect>
              </w:pict>
            </mc:Fallback>
          </mc:AlternateContent>
        </w:r>
      </w:sdtContent>
    </w:sdt>
    <w:r w:rsidR="00132B8B" w:rsidRPr="00132B8B">
      <w:rPr>
        <w:rFonts w:ascii="Arial" w:hAnsi="Arial" w:cs="Arial"/>
        <w:b/>
      </w:rPr>
      <w:t>OFFICIAL</w:t>
    </w:r>
  </w:p>
  <w:p w:rsidR="00132B8B" w:rsidRDefault="00132B8B">
    <w:pPr>
      <w:pStyle w:val="Header"/>
    </w:pPr>
  </w:p>
  <w:p w:rsidR="00132B8B" w:rsidRDefault="0013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56C9"/>
    <w:multiLevelType w:val="hybridMultilevel"/>
    <w:tmpl w:val="4F6EC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D3111"/>
    <w:multiLevelType w:val="hybridMultilevel"/>
    <w:tmpl w:val="0B22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942FE"/>
    <w:multiLevelType w:val="hybridMultilevel"/>
    <w:tmpl w:val="86E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DC2CB8"/>
    <w:multiLevelType w:val="hybridMultilevel"/>
    <w:tmpl w:val="AA9E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A3E37"/>
    <w:multiLevelType w:val="hybridMultilevel"/>
    <w:tmpl w:val="B65A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3667F"/>
    <w:multiLevelType w:val="hybridMultilevel"/>
    <w:tmpl w:val="B1CC6264"/>
    <w:lvl w:ilvl="0" w:tplc="F70E561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5C"/>
    <w:rsid w:val="00000B5C"/>
    <w:rsid w:val="00034E54"/>
    <w:rsid w:val="00085775"/>
    <w:rsid w:val="000946BB"/>
    <w:rsid w:val="000A02D5"/>
    <w:rsid w:val="00132B8B"/>
    <w:rsid w:val="001D6D12"/>
    <w:rsid w:val="001E2C82"/>
    <w:rsid w:val="00203AFC"/>
    <w:rsid w:val="00231139"/>
    <w:rsid w:val="00253A09"/>
    <w:rsid w:val="0028255F"/>
    <w:rsid w:val="002A6107"/>
    <w:rsid w:val="002C5B6E"/>
    <w:rsid w:val="003667DD"/>
    <w:rsid w:val="003D7BF5"/>
    <w:rsid w:val="003F78D9"/>
    <w:rsid w:val="0048333F"/>
    <w:rsid w:val="0050364D"/>
    <w:rsid w:val="00530C4A"/>
    <w:rsid w:val="005B16E3"/>
    <w:rsid w:val="005B64BD"/>
    <w:rsid w:val="0060330B"/>
    <w:rsid w:val="0069395B"/>
    <w:rsid w:val="006949C2"/>
    <w:rsid w:val="006970D2"/>
    <w:rsid w:val="006A25E4"/>
    <w:rsid w:val="006A360A"/>
    <w:rsid w:val="006E22A9"/>
    <w:rsid w:val="006F3AF2"/>
    <w:rsid w:val="00733387"/>
    <w:rsid w:val="00734B41"/>
    <w:rsid w:val="007413C1"/>
    <w:rsid w:val="00745980"/>
    <w:rsid w:val="00750315"/>
    <w:rsid w:val="00766225"/>
    <w:rsid w:val="0077175C"/>
    <w:rsid w:val="007A2D38"/>
    <w:rsid w:val="00814331"/>
    <w:rsid w:val="00823E20"/>
    <w:rsid w:val="008407DD"/>
    <w:rsid w:val="008915A8"/>
    <w:rsid w:val="0089529F"/>
    <w:rsid w:val="00905055"/>
    <w:rsid w:val="009133F0"/>
    <w:rsid w:val="00937F73"/>
    <w:rsid w:val="00961BB0"/>
    <w:rsid w:val="009869B2"/>
    <w:rsid w:val="009B4BCC"/>
    <w:rsid w:val="009C013C"/>
    <w:rsid w:val="00A221C2"/>
    <w:rsid w:val="00AD6B9E"/>
    <w:rsid w:val="00B51C0F"/>
    <w:rsid w:val="00BF01C1"/>
    <w:rsid w:val="00BF406C"/>
    <w:rsid w:val="00C070F5"/>
    <w:rsid w:val="00C119AE"/>
    <w:rsid w:val="00C24B0D"/>
    <w:rsid w:val="00C36CA2"/>
    <w:rsid w:val="00C511FF"/>
    <w:rsid w:val="00D20C8B"/>
    <w:rsid w:val="00D70793"/>
    <w:rsid w:val="00DB07A5"/>
    <w:rsid w:val="00DE2634"/>
    <w:rsid w:val="00DF6E55"/>
    <w:rsid w:val="00E07773"/>
    <w:rsid w:val="00E30008"/>
    <w:rsid w:val="00E84B0A"/>
    <w:rsid w:val="00EA4169"/>
    <w:rsid w:val="00EA7B6D"/>
    <w:rsid w:val="00ED6D78"/>
    <w:rsid w:val="00F165D8"/>
    <w:rsid w:val="00F4327F"/>
    <w:rsid w:val="00F60447"/>
    <w:rsid w:val="00F97404"/>
    <w:rsid w:val="00FF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F274"/>
  <w15:chartTrackingRefBased/>
  <w15:docId w15:val="{29C932FF-859B-4A5B-B171-1B5C497C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B8B"/>
  </w:style>
  <w:style w:type="paragraph" w:styleId="Footer">
    <w:name w:val="footer"/>
    <w:basedOn w:val="Normal"/>
    <w:link w:val="FooterChar"/>
    <w:uiPriority w:val="99"/>
    <w:unhideWhenUsed/>
    <w:rsid w:val="00132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B8B"/>
  </w:style>
  <w:style w:type="table" w:styleId="TableGrid">
    <w:name w:val="Table Grid"/>
    <w:basedOn w:val="TableNormal"/>
    <w:uiPriority w:val="39"/>
    <w:rsid w:val="0013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AFC"/>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E84B0A"/>
    <w:rPr>
      <w:sz w:val="16"/>
      <w:szCs w:val="16"/>
    </w:rPr>
  </w:style>
  <w:style w:type="paragraph" w:styleId="CommentText">
    <w:name w:val="annotation text"/>
    <w:basedOn w:val="Normal"/>
    <w:link w:val="CommentTextChar"/>
    <w:uiPriority w:val="99"/>
    <w:semiHidden/>
    <w:unhideWhenUsed/>
    <w:rsid w:val="00E84B0A"/>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84B0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84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48629">
      <w:bodyDiv w:val="1"/>
      <w:marLeft w:val="0"/>
      <w:marRight w:val="0"/>
      <w:marTop w:val="0"/>
      <w:marBottom w:val="0"/>
      <w:divBdr>
        <w:top w:val="none" w:sz="0" w:space="0" w:color="auto"/>
        <w:left w:val="none" w:sz="0" w:space="0" w:color="auto"/>
        <w:bottom w:val="none" w:sz="0" w:space="0" w:color="auto"/>
        <w:right w:val="none" w:sz="0" w:space="0" w:color="auto"/>
      </w:divBdr>
    </w:div>
    <w:div w:id="709034464">
      <w:bodyDiv w:val="1"/>
      <w:marLeft w:val="0"/>
      <w:marRight w:val="0"/>
      <w:marTop w:val="0"/>
      <w:marBottom w:val="0"/>
      <w:divBdr>
        <w:top w:val="none" w:sz="0" w:space="0" w:color="auto"/>
        <w:left w:val="none" w:sz="0" w:space="0" w:color="auto"/>
        <w:bottom w:val="none" w:sz="0" w:space="0" w:color="auto"/>
        <w:right w:val="none" w:sz="0" w:space="0" w:color="auto"/>
      </w:divBdr>
    </w:div>
    <w:div w:id="814176260">
      <w:bodyDiv w:val="1"/>
      <w:marLeft w:val="0"/>
      <w:marRight w:val="0"/>
      <w:marTop w:val="0"/>
      <w:marBottom w:val="0"/>
      <w:divBdr>
        <w:top w:val="none" w:sz="0" w:space="0" w:color="auto"/>
        <w:left w:val="none" w:sz="0" w:space="0" w:color="auto"/>
        <w:bottom w:val="none" w:sz="0" w:space="0" w:color="auto"/>
        <w:right w:val="none" w:sz="0" w:space="0" w:color="auto"/>
      </w:divBdr>
    </w:div>
    <w:div w:id="1239899689">
      <w:bodyDiv w:val="1"/>
      <w:marLeft w:val="0"/>
      <w:marRight w:val="0"/>
      <w:marTop w:val="0"/>
      <w:marBottom w:val="0"/>
      <w:divBdr>
        <w:top w:val="none" w:sz="0" w:space="0" w:color="auto"/>
        <w:left w:val="none" w:sz="0" w:space="0" w:color="auto"/>
        <w:bottom w:val="none" w:sz="0" w:space="0" w:color="auto"/>
        <w:right w:val="none" w:sz="0" w:space="0" w:color="auto"/>
      </w:divBdr>
    </w:div>
    <w:div w:id="1870291798">
      <w:bodyDiv w:val="1"/>
      <w:marLeft w:val="0"/>
      <w:marRight w:val="0"/>
      <w:marTop w:val="0"/>
      <w:marBottom w:val="0"/>
      <w:divBdr>
        <w:top w:val="none" w:sz="0" w:space="0" w:color="auto"/>
        <w:left w:val="none" w:sz="0" w:space="0" w:color="auto"/>
        <w:bottom w:val="none" w:sz="0" w:space="0" w:color="auto"/>
        <w:right w:val="none" w:sz="0" w:space="0" w:color="auto"/>
      </w:divBdr>
    </w:div>
    <w:div w:id="20996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ewbach\users\50585\Useful%20information\Policing%20Board\Stats%20for%20Policing%20Board%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Weekly FOI requests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'FOI March 21 '!$A$2</c:f>
              <c:strCache>
                <c:ptCount val="1"/>
                <c:pt idx="0">
                  <c:v>Number of FOI requests logged: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'FOI March 21 '!$B$1:$L$1</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'!$B$2:$L$2</c:f>
              <c:numCache>
                <c:formatCode>General</c:formatCode>
                <c:ptCount val="11"/>
                <c:pt idx="0">
                  <c:v>21</c:v>
                </c:pt>
                <c:pt idx="1">
                  <c:v>22</c:v>
                </c:pt>
                <c:pt idx="2">
                  <c:v>21</c:v>
                </c:pt>
                <c:pt idx="3">
                  <c:v>29</c:v>
                </c:pt>
                <c:pt idx="4">
                  <c:v>11</c:v>
                </c:pt>
                <c:pt idx="5">
                  <c:v>27</c:v>
                </c:pt>
                <c:pt idx="6">
                  <c:v>24</c:v>
                </c:pt>
                <c:pt idx="7">
                  <c:v>17</c:v>
                </c:pt>
                <c:pt idx="8">
                  <c:v>25</c:v>
                </c:pt>
                <c:pt idx="9">
                  <c:v>7</c:v>
                </c:pt>
                <c:pt idx="10">
                  <c:v>40</c:v>
                </c:pt>
              </c:numCache>
            </c:numRef>
          </c:val>
          <c:extLst>
            <c:ext xmlns:c16="http://schemas.microsoft.com/office/drawing/2014/chart" uri="{C3380CC4-5D6E-409C-BE32-E72D297353CC}">
              <c16:uniqueId val="{00000000-14E9-48D6-B87F-0B9BC2089D97}"/>
            </c:ext>
          </c:extLst>
        </c:ser>
        <c:ser>
          <c:idx val="1"/>
          <c:order val="1"/>
          <c:tx>
            <c:strRef>
              <c:f>'FOI March 21 '!$A$3</c:f>
              <c:strCache>
                <c:ptCount val="1"/>
                <c:pt idx="0">
                  <c:v>Number of non-FOI requests logged: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'FOI March 21 '!$B$1:$L$1</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'!$B$3:$L$3</c:f>
              <c:numCache>
                <c:formatCode>General</c:formatCode>
                <c:ptCount val="11"/>
                <c:pt idx="0">
                  <c:v>1</c:v>
                </c:pt>
                <c:pt idx="1">
                  <c:v>4</c:v>
                </c:pt>
                <c:pt idx="2">
                  <c:v>6</c:v>
                </c:pt>
                <c:pt idx="3">
                  <c:v>3</c:v>
                </c:pt>
                <c:pt idx="4">
                  <c:v>3</c:v>
                </c:pt>
                <c:pt idx="5">
                  <c:v>4</c:v>
                </c:pt>
                <c:pt idx="6">
                  <c:v>1</c:v>
                </c:pt>
                <c:pt idx="7">
                  <c:v>3</c:v>
                </c:pt>
                <c:pt idx="8">
                  <c:v>7</c:v>
                </c:pt>
                <c:pt idx="9">
                  <c:v>2</c:v>
                </c:pt>
                <c:pt idx="10">
                  <c:v>6</c:v>
                </c:pt>
              </c:numCache>
            </c:numRef>
          </c:val>
          <c:extLst>
            <c:ext xmlns:c16="http://schemas.microsoft.com/office/drawing/2014/chart" uri="{C3380CC4-5D6E-409C-BE32-E72D297353CC}">
              <c16:uniqueId val="{00000001-14E9-48D6-B87F-0B9BC2089D97}"/>
            </c:ext>
          </c:extLst>
        </c:ser>
        <c:ser>
          <c:idx val="2"/>
          <c:order val="2"/>
          <c:tx>
            <c:strRef>
              <c:f>'FOI March 21 '!$A$4</c:f>
              <c:strCache>
                <c:ptCount val="1"/>
                <c:pt idx="0">
                  <c:v>Number of requests finalised during week:</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'FOI March 21 '!$B$1:$L$1</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'!$B$4:$L$4</c:f>
              <c:numCache>
                <c:formatCode>General</c:formatCode>
                <c:ptCount val="11"/>
                <c:pt idx="0">
                  <c:v>25</c:v>
                </c:pt>
                <c:pt idx="1">
                  <c:v>16</c:v>
                </c:pt>
                <c:pt idx="2">
                  <c:v>15</c:v>
                </c:pt>
                <c:pt idx="3">
                  <c:v>19</c:v>
                </c:pt>
                <c:pt idx="4">
                  <c:v>21</c:v>
                </c:pt>
                <c:pt idx="5">
                  <c:v>18</c:v>
                </c:pt>
                <c:pt idx="6">
                  <c:v>21</c:v>
                </c:pt>
                <c:pt idx="7">
                  <c:v>24</c:v>
                </c:pt>
                <c:pt idx="8">
                  <c:v>23</c:v>
                </c:pt>
                <c:pt idx="9">
                  <c:v>13</c:v>
                </c:pt>
                <c:pt idx="10">
                  <c:v>22</c:v>
                </c:pt>
              </c:numCache>
            </c:numRef>
          </c:val>
          <c:extLst>
            <c:ext xmlns:c16="http://schemas.microsoft.com/office/drawing/2014/chart" uri="{C3380CC4-5D6E-409C-BE32-E72D297353CC}">
              <c16:uniqueId val="{00000002-14E9-48D6-B87F-0B9BC2089D97}"/>
            </c:ext>
          </c:extLst>
        </c:ser>
        <c:ser>
          <c:idx val="3"/>
          <c:order val="3"/>
          <c:tx>
            <c:strRef>
              <c:f>'FOI March 21 '!$A$5</c:f>
              <c:strCache>
                <c:ptCount val="1"/>
                <c:pt idx="0">
                  <c:v>Number of  FOI requests overdue: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'FOI March 21 '!$B$1:$L$1</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'!$B$5:$L$5</c:f>
              <c:numCache>
                <c:formatCode>General</c:formatCode>
                <c:ptCount val="11"/>
                <c:pt idx="0">
                  <c:v>1</c:v>
                </c:pt>
                <c:pt idx="1">
                  <c:v>2</c:v>
                </c:pt>
                <c:pt idx="2">
                  <c:v>1</c:v>
                </c:pt>
                <c:pt idx="3">
                  <c:v>0</c:v>
                </c:pt>
                <c:pt idx="4">
                  <c:v>2</c:v>
                </c:pt>
                <c:pt idx="5">
                  <c:v>5</c:v>
                </c:pt>
                <c:pt idx="6">
                  <c:v>3</c:v>
                </c:pt>
                <c:pt idx="7">
                  <c:v>2</c:v>
                </c:pt>
                <c:pt idx="8">
                  <c:v>1</c:v>
                </c:pt>
                <c:pt idx="9">
                  <c:v>1</c:v>
                </c:pt>
                <c:pt idx="10">
                  <c:v>1</c:v>
                </c:pt>
              </c:numCache>
            </c:numRef>
          </c:val>
          <c:extLst>
            <c:ext xmlns:c16="http://schemas.microsoft.com/office/drawing/2014/chart" uri="{C3380CC4-5D6E-409C-BE32-E72D297353CC}">
              <c16:uniqueId val="{00000003-14E9-48D6-B87F-0B9BC2089D97}"/>
            </c:ext>
          </c:extLst>
        </c:ser>
        <c:ser>
          <c:idx val="4"/>
          <c:order val="4"/>
          <c:tx>
            <c:strRef>
              <c:f>'FOI March 21 '!$A$6</c:f>
              <c:strCache>
                <c:ptCount val="1"/>
                <c:pt idx="0">
                  <c:v>Number of FOI requests awaiting response from departments: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'FOI March 21 '!$B$1:$L$1</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'!$B$6:$L$6</c:f>
              <c:numCache>
                <c:formatCode>General</c:formatCode>
                <c:ptCount val="11"/>
                <c:pt idx="0">
                  <c:v>5</c:v>
                </c:pt>
                <c:pt idx="1">
                  <c:v>5</c:v>
                </c:pt>
                <c:pt idx="2">
                  <c:v>4</c:v>
                </c:pt>
                <c:pt idx="3">
                  <c:v>4</c:v>
                </c:pt>
                <c:pt idx="4">
                  <c:v>3</c:v>
                </c:pt>
                <c:pt idx="5">
                  <c:v>4</c:v>
                </c:pt>
                <c:pt idx="6">
                  <c:v>8</c:v>
                </c:pt>
                <c:pt idx="7">
                  <c:v>9</c:v>
                </c:pt>
                <c:pt idx="8">
                  <c:v>2</c:v>
                </c:pt>
                <c:pt idx="9">
                  <c:v>2</c:v>
                </c:pt>
                <c:pt idx="10">
                  <c:v>8</c:v>
                </c:pt>
              </c:numCache>
            </c:numRef>
          </c:val>
          <c:extLst>
            <c:ext xmlns:c16="http://schemas.microsoft.com/office/drawing/2014/chart" uri="{C3380CC4-5D6E-409C-BE32-E72D297353CC}">
              <c16:uniqueId val="{00000004-14E9-48D6-B87F-0B9BC2089D97}"/>
            </c:ext>
          </c:extLst>
        </c:ser>
        <c:ser>
          <c:idx val="5"/>
          <c:order val="5"/>
          <c:tx>
            <c:strRef>
              <c:f>'FOI March 21 '!$A$7</c:f>
              <c:strCache>
                <c:ptCount val="1"/>
                <c:pt idx="0">
                  <c:v>Number of FOI requests open at the end of the week:</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'FOI March 21 '!$B$1:$L$1</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'!$B$7:$L$7</c:f>
              <c:numCache>
                <c:formatCode>General</c:formatCode>
                <c:ptCount val="11"/>
                <c:pt idx="0">
                  <c:v>77</c:v>
                </c:pt>
                <c:pt idx="1">
                  <c:v>84</c:v>
                </c:pt>
                <c:pt idx="2">
                  <c:v>90</c:v>
                </c:pt>
                <c:pt idx="3">
                  <c:v>99</c:v>
                </c:pt>
                <c:pt idx="4">
                  <c:v>89</c:v>
                </c:pt>
                <c:pt idx="5">
                  <c:v>97</c:v>
                </c:pt>
                <c:pt idx="6">
                  <c:v>96</c:v>
                </c:pt>
                <c:pt idx="7">
                  <c:v>88</c:v>
                </c:pt>
                <c:pt idx="8">
                  <c:v>90</c:v>
                </c:pt>
                <c:pt idx="9">
                  <c:v>84</c:v>
                </c:pt>
                <c:pt idx="10">
                  <c:v>102</c:v>
                </c:pt>
              </c:numCache>
            </c:numRef>
          </c:val>
          <c:extLst>
            <c:ext xmlns:c16="http://schemas.microsoft.com/office/drawing/2014/chart" uri="{C3380CC4-5D6E-409C-BE32-E72D297353CC}">
              <c16:uniqueId val="{00000005-14E9-48D6-B87F-0B9BC2089D97}"/>
            </c:ext>
          </c:extLst>
        </c:ser>
        <c:dLbls>
          <c:showLegendKey val="0"/>
          <c:showVal val="0"/>
          <c:showCatName val="0"/>
          <c:showSerName val="0"/>
          <c:showPercent val="0"/>
          <c:showBubbleSize val="0"/>
        </c:dLbls>
        <c:gapWidth val="100"/>
        <c:overlap val="-24"/>
        <c:axId val="737956000"/>
        <c:axId val="737951408"/>
      </c:barChart>
      <c:catAx>
        <c:axId val="73795600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37951408"/>
        <c:crosses val="autoZero"/>
        <c:auto val="1"/>
        <c:lblAlgn val="ctr"/>
        <c:lblOffset val="100"/>
        <c:noMultiLvlLbl val="0"/>
      </c:catAx>
      <c:valAx>
        <c:axId val="7379514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37956000"/>
        <c:crosses val="autoZero"/>
        <c:crossBetween val="between"/>
      </c:valAx>
      <c:spPr>
        <a:noFill/>
        <a:ln>
          <a:noFill/>
        </a:ln>
        <a:effectLst/>
      </c:spPr>
    </c:plotArea>
    <c:legend>
      <c:legendPos val="b"/>
      <c:layout>
        <c:manualLayout>
          <c:xMode val="edge"/>
          <c:yMode val="edge"/>
          <c:x val="1.5773952169022349E-2"/>
          <c:y val="0.53475271156437609"/>
          <c:w val="0.67859702319818715"/>
          <c:h val="0.4388504560555095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FOI requests received</a:t>
            </a:r>
            <a:r>
              <a:rPr lang="en-US" baseline="0"/>
              <a:t> compared to finalised during the period </a:t>
            </a:r>
            <a:r>
              <a:rPr lang="en-US"/>
              <a:t> </a:t>
            </a:r>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n-US"/>
        </a:p>
      </c:txPr>
    </c:title>
    <c:autoTitleDeleted val="0"/>
    <c:plotArea>
      <c:layout/>
      <c:lineChart>
        <c:grouping val="standard"/>
        <c:varyColors val="0"/>
        <c:ser>
          <c:idx val="0"/>
          <c:order val="0"/>
          <c:tx>
            <c:strRef>
              <c:f>'FOI March 21 '!$A$11</c:f>
              <c:strCache>
                <c:ptCount val="1"/>
                <c:pt idx="0">
                  <c:v>Total Received During Period </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'FOI March 21 '!$B$10:$L$10</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'!$B$11:$L$11</c:f>
              <c:numCache>
                <c:formatCode>General</c:formatCode>
                <c:ptCount val="11"/>
                <c:pt idx="0">
                  <c:v>21</c:v>
                </c:pt>
                <c:pt idx="1">
                  <c:v>22</c:v>
                </c:pt>
                <c:pt idx="2">
                  <c:v>21</c:v>
                </c:pt>
                <c:pt idx="3">
                  <c:v>29</c:v>
                </c:pt>
                <c:pt idx="4">
                  <c:v>11</c:v>
                </c:pt>
                <c:pt idx="5">
                  <c:v>27</c:v>
                </c:pt>
                <c:pt idx="6">
                  <c:v>24</c:v>
                </c:pt>
                <c:pt idx="7">
                  <c:v>17</c:v>
                </c:pt>
                <c:pt idx="8">
                  <c:v>25</c:v>
                </c:pt>
                <c:pt idx="9">
                  <c:v>7</c:v>
                </c:pt>
                <c:pt idx="10">
                  <c:v>40</c:v>
                </c:pt>
              </c:numCache>
            </c:numRef>
          </c:val>
          <c:smooth val="0"/>
          <c:extLst>
            <c:ext xmlns:c16="http://schemas.microsoft.com/office/drawing/2014/chart" uri="{C3380CC4-5D6E-409C-BE32-E72D297353CC}">
              <c16:uniqueId val="{00000000-AFC5-48C2-A9CB-021E77A57C1C}"/>
            </c:ext>
          </c:extLst>
        </c:ser>
        <c:ser>
          <c:idx val="1"/>
          <c:order val="1"/>
          <c:tx>
            <c:strRef>
              <c:f>'FOI March 21 '!$A$12</c:f>
              <c:strCache>
                <c:ptCount val="1"/>
                <c:pt idx="0">
                  <c:v>Total Finalised During Period </c:v>
                </c:pt>
              </c:strCache>
            </c:strRef>
          </c:tx>
          <c:spPr>
            <a:ln w="22225" cap="rnd">
              <a:solidFill>
                <a:schemeClr val="accent2"/>
              </a:solidFill>
            </a:ln>
            <a:effectLst>
              <a:glow rad="139700">
                <a:schemeClr val="accent2">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'FOI March 21 '!$B$10:$L$10</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'FOI March 21 '!$B$12:$L$12</c:f>
              <c:numCache>
                <c:formatCode>General</c:formatCode>
                <c:ptCount val="11"/>
                <c:pt idx="0">
                  <c:v>25</c:v>
                </c:pt>
                <c:pt idx="1">
                  <c:v>16</c:v>
                </c:pt>
                <c:pt idx="2">
                  <c:v>15</c:v>
                </c:pt>
                <c:pt idx="3">
                  <c:v>19</c:v>
                </c:pt>
                <c:pt idx="4">
                  <c:v>21</c:v>
                </c:pt>
                <c:pt idx="5">
                  <c:v>18</c:v>
                </c:pt>
                <c:pt idx="6">
                  <c:v>21</c:v>
                </c:pt>
                <c:pt idx="7">
                  <c:v>24</c:v>
                </c:pt>
                <c:pt idx="8">
                  <c:v>23</c:v>
                </c:pt>
                <c:pt idx="9">
                  <c:v>13</c:v>
                </c:pt>
                <c:pt idx="10">
                  <c:v>22</c:v>
                </c:pt>
              </c:numCache>
            </c:numRef>
          </c:val>
          <c:smooth val="0"/>
          <c:extLst>
            <c:ext xmlns:c16="http://schemas.microsoft.com/office/drawing/2014/chart" uri="{C3380CC4-5D6E-409C-BE32-E72D297353CC}">
              <c16:uniqueId val="{00000001-AFC5-48C2-A9CB-021E77A57C1C}"/>
            </c:ext>
          </c:extLst>
        </c:ser>
        <c:dLbls>
          <c:dLblPos val="ctr"/>
          <c:showLegendKey val="0"/>
          <c:showVal val="1"/>
          <c:showCatName val="0"/>
          <c:showSerName val="0"/>
          <c:showPercent val="0"/>
          <c:showBubbleSize val="0"/>
        </c:dLbls>
        <c:smooth val="0"/>
        <c:axId val="820317984"/>
        <c:axId val="820308144"/>
      </c:lineChart>
      <c:catAx>
        <c:axId val="820317984"/>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20308144"/>
        <c:crosses val="autoZero"/>
        <c:auto val="1"/>
        <c:lblAlgn val="ctr"/>
        <c:lblOffset val="100"/>
        <c:noMultiLvlLbl val="0"/>
      </c:catAx>
      <c:valAx>
        <c:axId val="82030814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820317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sz="1400"/>
              <a:t>Cases opened compared to cases closed </a:t>
            </a:r>
          </a:p>
          <a:p>
            <a:pPr>
              <a:defRPr/>
            </a:pPr>
            <a:r>
              <a:rPr lang="en-GB" sz="1400"/>
              <a:t>W/E 08.01.21 to W/E 19.03.21</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'DP PB March 21'!$C$41</c:f>
              <c:strCache>
                <c:ptCount val="1"/>
                <c:pt idx="0">
                  <c:v>Total received </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21'!$B$42:$B$52</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'DP PB March 21'!$C$42:$C$52</c:f>
              <c:numCache>
                <c:formatCode>General</c:formatCode>
                <c:ptCount val="11"/>
                <c:pt idx="0">
                  <c:v>77</c:v>
                </c:pt>
                <c:pt idx="1">
                  <c:v>83</c:v>
                </c:pt>
                <c:pt idx="2">
                  <c:v>76</c:v>
                </c:pt>
                <c:pt idx="3">
                  <c:v>98</c:v>
                </c:pt>
                <c:pt idx="4">
                  <c:v>107</c:v>
                </c:pt>
                <c:pt idx="5">
                  <c:v>75</c:v>
                </c:pt>
                <c:pt idx="6">
                  <c:v>72</c:v>
                </c:pt>
                <c:pt idx="7">
                  <c:v>82</c:v>
                </c:pt>
                <c:pt idx="8">
                  <c:v>94</c:v>
                </c:pt>
                <c:pt idx="9">
                  <c:v>73</c:v>
                </c:pt>
                <c:pt idx="10">
                  <c:v>87</c:v>
                </c:pt>
              </c:numCache>
            </c:numRef>
          </c:val>
          <c:smooth val="0"/>
          <c:extLst>
            <c:ext xmlns:c16="http://schemas.microsoft.com/office/drawing/2014/chart" uri="{C3380CC4-5D6E-409C-BE32-E72D297353CC}">
              <c16:uniqueId val="{00000000-6B03-44FF-82E0-9F1E590A57FE}"/>
            </c:ext>
          </c:extLst>
        </c:ser>
        <c:ser>
          <c:idx val="1"/>
          <c:order val="1"/>
          <c:tx>
            <c:strRef>
              <c:f>'DP PB March 21'!$D$41</c:f>
              <c:strCache>
                <c:ptCount val="1"/>
                <c:pt idx="0">
                  <c:v>Total closed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21'!$B$42:$B$52</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'DP PB March 21'!$D$42:$D$52</c:f>
              <c:numCache>
                <c:formatCode>General</c:formatCode>
                <c:ptCount val="11"/>
                <c:pt idx="0">
                  <c:v>65</c:v>
                </c:pt>
                <c:pt idx="1">
                  <c:v>53</c:v>
                </c:pt>
                <c:pt idx="2">
                  <c:v>86</c:v>
                </c:pt>
                <c:pt idx="3">
                  <c:v>78</c:v>
                </c:pt>
                <c:pt idx="4">
                  <c:v>65</c:v>
                </c:pt>
                <c:pt idx="5">
                  <c:v>65</c:v>
                </c:pt>
                <c:pt idx="6">
                  <c:v>102</c:v>
                </c:pt>
                <c:pt idx="7">
                  <c:v>76</c:v>
                </c:pt>
                <c:pt idx="8">
                  <c:v>92</c:v>
                </c:pt>
                <c:pt idx="9">
                  <c:v>36</c:v>
                </c:pt>
                <c:pt idx="10">
                  <c:v>101</c:v>
                </c:pt>
              </c:numCache>
            </c:numRef>
          </c:val>
          <c:smooth val="0"/>
          <c:extLst>
            <c:ext xmlns:c16="http://schemas.microsoft.com/office/drawing/2014/chart" uri="{C3380CC4-5D6E-409C-BE32-E72D297353CC}">
              <c16:uniqueId val="{00000001-6B03-44FF-82E0-9F1E590A57FE}"/>
            </c:ext>
          </c:extLst>
        </c:ser>
        <c:dLbls>
          <c:dLblPos val="ctr"/>
          <c:showLegendKey val="0"/>
          <c:showVal val="1"/>
          <c:showCatName val="0"/>
          <c:showSerName val="0"/>
          <c:showPercent val="0"/>
          <c:showBubbleSize val="0"/>
        </c:dLbls>
        <c:smooth val="0"/>
        <c:axId val="691573480"/>
        <c:axId val="691573808"/>
      </c:lineChart>
      <c:catAx>
        <c:axId val="691573480"/>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91573808"/>
        <c:crosses val="autoZero"/>
        <c:auto val="1"/>
        <c:lblAlgn val="ctr"/>
        <c:lblOffset val="100"/>
        <c:noMultiLvlLbl val="0"/>
      </c:catAx>
      <c:valAx>
        <c:axId val="69157380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91573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Total</a:t>
            </a:r>
            <a:r>
              <a:rPr lang="en-GB" baseline="0"/>
              <a:t> cases opened </a:t>
            </a:r>
          </a:p>
          <a:p>
            <a:pPr>
              <a:defRPr/>
            </a:pPr>
            <a:r>
              <a:rPr lang="en-GB" sz="1600" b="1" i="0" u="none" strike="noStrike" baseline="0">
                <a:effectLst>
                  <a:outerShdw blurRad="50800" dist="38100" dir="5400000" algn="t" rotWithShape="0">
                    <a:prstClr val="black">
                      <a:alpha val="40000"/>
                    </a:prstClr>
                  </a:outerShdw>
                </a:effectLst>
              </a:rPr>
              <a:t> </a:t>
            </a:r>
            <a:r>
              <a:rPr lang="en-GB" baseline="0"/>
              <a:t> W/E 04.12.20 to W/E 19.03.20</a:t>
            </a:r>
            <a:endParaRPr lang="en-GB"/>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21'!$P$1:$P$15</c:f>
              <c:strCache>
                <c:ptCount val="15"/>
                <c:pt idx="0">
                  <c:v>04.12.20</c:v>
                </c:pt>
                <c:pt idx="1">
                  <c:v>11.12.20</c:v>
                </c:pt>
                <c:pt idx="2">
                  <c:v>18.12.20</c:v>
                </c:pt>
                <c:pt idx="3">
                  <c:v>25.12.20</c:v>
                </c:pt>
                <c:pt idx="4">
                  <c:v>31.12.20</c:v>
                </c:pt>
                <c:pt idx="5">
                  <c:v>15.01.21</c:v>
                </c:pt>
                <c:pt idx="6">
                  <c:v>22.01.21</c:v>
                </c:pt>
                <c:pt idx="7">
                  <c:v>29.01.21</c:v>
                </c:pt>
                <c:pt idx="8">
                  <c:v>05.02.21</c:v>
                </c:pt>
                <c:pt idx="9">
                  <c:v>12.02.21</c:v>
                </c:pt>
                <c:pt idx="10">
                  <c:v>19.02.21</c:v>
                </c:pt>
                <c:pt idx="11">
                  <c:v>26.02.21</c:v>
                </c:pt>
                <c:pt idx="12">
                  <c:v>05.03.21</c:v>
                </c:pt>
                <c:pt idx="13">
                  <c:v>12.03.21</c:v>
                </c:pt>
                <c:pt idx="14">
                  <c:v>19.03.21</c:v>
                </c:pt>
              </c:strCache>
            </c:strRef>
          </c:cat>
          <c:val>
            <c:numRef>
              <c:f>'DP PB March 21'!$Q$1:$Q$15</c:f>
              <c:numCache>
                <c:formatCode>General</c:formatCode>
                <c:ptCount val="15"/>
                <c:pt idx="0">
                  <c:v>75</c:v>
                </c:pt>
                <c:pt idx="1">
                  <c:v>91</c:v>
                </c:pt>
                <c:pt idx="2">
                  <c:v>81</c:v>
                </c:pt>
                <c:pt idx="3">
                  <c:v>37</c:v>
                </c:pt>
                <c:pt idx="4">
                  <c:v>24</c:v>
                </c:pt>
                <c:pt idx="5">
                  <c:v>83</c:v>
                </c:pt>
                <c:pt idx="6">
                  <c:v>76</c:v>
                </c:pt>
                <c:pt idx="7">
                  <c:v>98</c:v>
                </c:pt>
                <c:pt idx="8">
                  <c:v>107</c:v>
                </c:pt>
                <c:pt idx="9">
                  <c:v>75</c:v>
                </c:pt>
                <c:pt idx="10">
                  <c:v>72</c:v>
                </c:pt>
                <c:pt idx="11">
                  <c:v>82</c:v>
                </c:pt>
                <c:pt idx="12">
                  <c:v>94</c:v>
                </c:pt>
                <c:pt idx="13">
                  <c:v>73</c:v>
                </c:pt>
                <c:pt idx="14">
                  <c:v>87</c:v>
                </c:pt>
              </c:numCache>
            </c:numRef>
          </c:val>
          <c:smooth val="0"/>
          <c:extLst>
            <c:ext xmlns:c16="http://schemas.microsoft.com/office/drawing/2014/chart" uri="{C3380CC4-5D6E-409C-BE32-E72D297353CC}">
              <c16:uniqueId val="{00000000-FA31-48D1-A6C0-8121F7007945}"/>
            </c:ext>
          </c:extLst>
        </c:ser>
        <c:dLbls>
          <c:dLblPos val="ctr"/>
          <c:showLegendKey val="0"/>
          <c:showVal val="1"/>
          <c:showCatName val="0"/>
          <c:showSerName val="0"/>
          <c:showPercent val="0"/>
          <c:showBubbleSize val="0"/>
        </c:dLbls>
        <c:smooth val="0"/>
        <c:axId val="997383384"/>
        <c:axId val="997387976"/>
      </c:lineChart>
      <c:catAx>
        <c:axId val="997383384"/>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97387976"/>
        <c:crosses val="autoZero"/>
        <c:auto val="1"/>
        <c:lblAlgn val="ctr"/>
        <c:lblOffset val="100"/>
        <c:noMultiLvlLbl val="0"/>
      </c:catAx>
      <c:valAx>
        <c:axId val="99738797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97383384"/>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Highest areas of demand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'DP PB March 21'!$G$59</c:f>
              <c:strCache>
                <c:ptCount val="1"/>
                <c:pt idx="0">
                  <c:v>CAFCASS </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21'!$F$60:$F$70</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'DP PB March 21'!$G$60:$G$70</c:f>
              <c:numCache>
                <c:formatCode>General</c:formatCode>
                <c:ptCount val="11"/>
                <c:pt idx="0">
                  <c:v>17</c:v>
                </c:pt>
                <c:pt idx="1">
                  <c:v>15</c:v>
                </c:pt>
                <c:pt idx="2">
                  <c:v>9</c:v>
                </c:pt>
                <c:pt idx="3">
                  <c:v>13</c:v>
                </c:pt>
                <c:pt idx="4">
                  <c:v>6</c:v>
                </c:pt>
                <c:pt idx="5">
                  <c:v>14</c:v>
                </c:pt>
                <c:pt idx="6">
                  <c:v>15</c:v>
                </c:pt>
                <c:pt idx="7">
                  <c:v>8</c:v>
                </c:pt>
                <c:pt idx="8">
                  <c:v>12</c:v>
                </c:pt>
                <c:pt idx="9">
                  <c:v>12</c:v>
                </c:pt>
                <c:pt idx="10">
                  <c:v>10</c:v>
                </c:pt>
              </c:numCache>
            </c:numRef>
          </c:val>
          <c:smooth val="0"/>
          <c:extLst>
            <c:ext xmlns:c16="http://schemas.microsoft.com/office/drawing/2014/chart" uri="{C3380CC4-5D6E-409C-BE32-E72D297353CC}">
              <c16:uniqueId val="{00000000-9597-40AD-A36D-E635C173DAEF}"/>
            </c:ext>
          </c:extLst>
        </c:ser>
        <c:ser>
          <c:idx val="1"/>
          <c:order val="1"/>
          <c:tx>
            <c:strRef>
              <c:f>'DP PB March 21'!$H$59</c:f>
              <c:strCache>
                <c:ptCount val="1"/>
                <c:pt idx="0">
                  <c:v>Safeguarding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21'!$F$60:$F$70</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'DP PB March 21'!$H$60:$H$70</c:f>
              <c:numCache>
                <c:formatCode>General</c:formatCode>
                <c:ptCount val="11"/>
                <c:pt idx="0">
                  <c:v>19</c:v>
                </c:pt>
                <c:pt idx="1">
                  <c:v>10</c:v>
                </c:pt>
                <c:pt idx="2">
                  <c:v>12</c:v>
                </c:pt>
                <c:pt idx="3">
                  <c:v>18</c:v>
                </c:pt>
                <c:pt idx="4">
                  <c:v>25</c:v>
                </c:pt>
                <c:pt idx="5">
                  <c:v>16</c:v>
                </c:pt>
                <c:pt idx="6">
                  <c:v>22</c:v>
                </c:pt>
                <c:pt idx="7">
                  <c:v>23</c:v>
                </c:pt>
                <c:pt idx="8">
                  <c:v>19</c:v>
                </c:pt>
                <c:pt idx="9">
                  <c:v>13</c:v>
                </c:pt>
                <c:pt idx="10">
                  <c:v>22</c:v>
                </c:pt>
              </c:numCache>
            </c:numRef>
          </c:val>
          <c:smooth val="0"/>
          <c:extLst>
            <c:ext xmlns:c16="http://schemas.microsoft.com/office/drawing/2014/chart" uri="{C3380CC4-5D6E-409C-BE32-E72D297353CC}">
              <c16:uniqueId val="{00000001-9597-40AD-A36D-E635C173DAEF}"/>
            </c:ext>
          </c:extLst>
        </c:ser>
        <c:ser>
          <c:idx val="2"/>
          <c:order val="2"/>
          <c:tx>
            <c:strRef>
              <c:f>'DP PB March 21'!$I$59</c:f>
              <c:strCache>
                <c:ptCount val="1"/>
                <c:pt idx="0">
                  <c:v>Probation </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21'!$F$60:$F$70</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'DP PB March 21'!$I$60:$I$70</c:f>
              <c:numCache>
                <c:formatCode>General</c:formatCode>
                <c:ptCount val="11"/>
                <c:pt idx="0">
                  <c:v>18</c:v>
                </c:pt>
                <c:pt idx="1">
                  <c:v>22</c:v>
                </c:pt>
                <c:pt idx="2">
                  <c:v>34</c:v>
                </c:pt>
                <c:pt idx="3">
                  <c:v>29</c:v>
                </c:pt>
                <c:pt idx="4">
                  <c:v>32</c:v>
                </c:pt>
                <c:pt idx="5">
                  <c:v>19</c:v>
                </c:pt>
                <c:pt idx="6">
                  <c:v>10</c:v>
                </c:pt>
                <c:pt idx="7">
                  <c:v>13</c:v>
                </c:pt>
                <c:pt idx="8">
                  <c:v>31</c:v>
                </c:pt>
                <c:pt idx="9">
                  <c:v>17</c:v>
                </c:pt>
                <c:pt idx="10">
                  <c:v>25</c:v>
                </c:pt>
              </c:numCache>
            </c:numRef>
          </c:val>
          <c:smooth val="0"/>
          <c:extLst>
            <c:ext xmlns:c16="http://schemas.microsoft.com/office/drawing/2014/chart" uri="{C3380CC4-5D6E-409C-BE32-E72D297353CC}">
              <c16:uniqueId val="{00000002-9597-40AD-A36D-E635C173DAEF}"/>
            </c:ext>
          </c:extLst>
        </c:ser>
        <c:dLbls>
          <c:dLblPos val="ctr"/>
          <c:showLegendKey val="0"/>
          <c:showVal val="1"/>
          <c:showCatName val="0"/>
          <c:showSerName val="0"/>
          <c:showPercent val="0"/>
          <c:showBubbleSize val="0"/>
        </c:dLbls>
        <c:smooth val="0"/>
        <c:axId val="153834503"/>
        <c:axId val="153831551"/>
      </c:lineChart>
      <c:catAx>
        <c:axId val="153834503"/>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3831551"/>
        <c:crosses val="autoZero"/>
        <c:auto val="1"/>
        <c:lblAlgn val="ctr"/>
        <c:lblOffset val="100"/>
        <c:noMultiLvlLbl val="0"/>
      </c:catAx>
      <c:valAx>
        <c:axId val="15383155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538345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GB"/>
              <a:t>Number of FOI requests and Data Protection cases overdue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'DP PB March 21'!$D$76</c:f>
              <c:strCache>
                <c:ptCount val="1"/>
                <c:pt idx="0">
                  <c:v>FOI </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21'!$C$77:$C$87</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'DP PB March 21'!$D$77:$D$87</c:f>
              <c:numCache>
                <c:formatCode>General</c:formatCode>
                <c:ptCount val="11"/>
                <c:pt idx="0">
                  <c:v>1</c:v>
                </c:pt>
                <c:pt idx="1">
                  <c:v>2</c:v>
                </c:pt>
                <c:pt idx="2">
                  <c:v>1</c:v>
                </c:pt>
                <c:pt idx="3">
                  <c:v>0</c:v>
                </c:pt>
                <c:pt idx="4">
                  <c:v>2</c:v>
                </c:pt>
                <c:pt idx="5">
                  <c:v>3</c:v>
                </c:pt>
                <c:pt idx="6">
                  <c:v>3</c:v>
                </c:pt>
                <c:pt idx="7">
                  <c:v>2</c:v>
                </c:pt>
                <c:pt idx="8">
                  <c:v>1</c:v>
                </c:pt>
                <c:pt idx="9">
                  <c:v>1</c:v>
                </c:pt>
                <c:pt idx="10">
                  <c:v>1</c:v>
                </c:pt>
              </c:numCache>
            </c:numRef>
          </c:val>
          <c:smooth val="0"/>
          <c:extLst>
            <c:ext xmlns:c16="http://schemas.microsoft.com/office/drawing/2014/chart" uri="{C3380CC4-5D6E-409C-BE32-E72D297353CC}">
              <c16:uniqueId val="{00000000-074C-4D17-85B8-7D0D7B97587F}"/>
            </c:ext>
          </c:extLst>
        </c:ser>
        <c:ser>
          <c:idx val="1"/>
          <c:order val="1"/>
          <c:tx>
            <c:strRef>
              <c:f>'DP PB March 21'!$E$76</c:f>
              <c:strCache>
                <c:ptCount val="1"/>
                <c:pt idx="0">
                  <c:v>DP </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'DP PB March 21'!$C$77:$C$87</c:f>
              <c:strCache>
                <c:ptCount val="11"/>
                <c:pt idx="0">
                  <c:v>08.01.21</c:v>
                </c:pt>
                <c:pt idx="1">
                  <c:v>15.01.21</c:v>
                </c:pt>
                <c:pt idx="2">
                  <c:v>22.01.21</c:v>
                </c:pt>
                <c:pt idx="3">
                  <c:v>29.01.21</c:v>
                </c:pt>
                <c:pt idx="4">
                  <c:v>05.02.21</c:v>
                </c:pt>
                <c:pt idx="5">
                  <c:v>12.02.21</c:v>
                </c:pt>
                <c:pt idx="6">
                  <c:v>19.02.21</c:v>
                </c:pt>
                <c:pt idx="7">
                  <c:v>26.02.21</c:v>
                </c:pt>
                <c:pt idx="8">
                  <c:v>05.03.21</c:v>
                </c:pt>
                <c:pt idx="9">
                  <c:v>12.03.21</c:v>
                </c:pt>
                <c:pt idx="10">
                  <c:v>19.03.21</c:v>
                </c:pt>
              </c:strCache>
            </c:strRef>
          </c:cat>
          <c:val>
            <c:numRef>
              <c:f>'DP PB March 21'!$E$77:$E$87</c:f>
              <c:numCache>
                <c:formatCode>General</c:formatCode>
                <c:ptCount val="11"/>
                <c:pt idx="0">
                  <c:v>3</c:v>
                </c:pt>
                <c:pt idx="1">
                  <c:v>1</c:v>
                </c:pt>
                <c:pt idx="2">
                  <c:v>1</c:v>
                </c:pt>
                <c:pt idx="3">
                  <c:v>2</c:v>
                </c:pt>
                <c:pt idx="4">
                  <c:v>2</c:v>
                </c:pt>
                <c:pt idx="5">
                  <c:v>2</c:v>
                </c:pt>
                <c:pt idx="6">
                  <c:v>3</c:v>
                </c:pt>
                <c:pt idx="7">
                  <c:v>5</c:v>
                </c:pt>
                <c:pt idx="8">
                  <c:v>2</c:v>
                </c:pt>
                <c:pt idx="9">
                  <c:v>0</c:v>
                </c:pt>
                <c:pt idx="10">
                  <c:v>0</c:v>
                </c:pt>
              </c:numCache>
            </c:numRef>
          </c:val>
          <c:smooth val="0"/>
          <c:extLst>
            <c:ext xmlns:c16="http://schemas.microsoft.com/office/drawing/2014/chart" uri="{C3380CC4-5D6E-409C-BE32-E72D297353CC}">
              <c16:uniqueId val="{00000001-074C-4D17-85B8-7D0D7B97587F}"/>
            </c:ext>
          </c:extLst>
        </c:ser>
        <c:dLbls>
          <c:dLblPos val="ctr"/>
          <c:showLegendKey val="0"/>
          <c:showVal val="1"/>
          <c:showCatName val="0"/>
          <c:showSerName val="0"/>
          <c:showPercent val="0"/>
          <c:showBubbleSize val="0"/>
        </c:dLbls>
        <c:smooth val="0"/>
        <c:axId val="680260496"/>
        <c:axId val="680260824"/>
      </c:lineChart>
      <c:catAx>
        <c:axId val="68026049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80260824"/>
        <c:crosses val="autoZero"/>
        <c:auto val="1"/>
        <c:lblAlgn val="ctr"/>
        <c:lblOffset val="100"/>
        <c:noMultiLvlLbl val="0"/>
      </c:catAx>
      <c:valAx>
        <c:axId val="680260824"/>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8026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36">
  <cs:axisTitle>
    <cs:lnRef idx="0"/>
    <cs:fillRef idx="0"/>
    <cs:effectRef idx="0"/>
    <cs:fontRef idx="minor">
      <a:schemeClr val="lt1">
        <a:lumMod val="75000"/>
      </a:schemeClr>
    </cs:fontRef>
    <cs:defRPr sz="900" b="1"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dk1"/>
    </cs:fontRef>
    <cs:spPr>
      <a:solidFill>
        <a:schemeClr val="dk1">
          <a:lumMod val="75000"/>
          <a:lumOff val="25000"/>
        </a:schemeClr>
      </a:solidFill>
      <a:ln w="9525" cap="flat" cmpd="sng" algn="ctr">
        <a:solidFill>
          <a:schemeClr val="dk1">
            <a:lumMod val="15000"/>
            <a:lumOff val="85000"/>
          </a:schemeClr>
        </a:solidFill>
        <a:round/>
      </a:ln>
    </cs:spPr>
    <cs:defRPr sz="900" kern="1200"/>
  </cs:chartArea>
  <cs:dataLabel>
    <cs:lnRef idx="0"/>
    <cs:fillRef idx="0"/>
    <cs:effectRef idx="0"/>
    <cs:fontRef idx="minor">
      <a:schemeClr val="lt1">
        <a:lumMod val="75000"/>
      </a:schemeClr>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
  <cs:dataPoint3D>
    <cs:lnRef idx="0">
      <cs:styleClr val="auto"/>
    </cs:lnRef>
    <cs:fillRef idx="0">
      <cs:styleClr val="auto"/>
    </cs:fillRef>
    <cs:effectRef idx="0">
      <cs:styleClr val="auto"/>
    </cs:effectRef>
    <cs:fontRef idx="minor">
      <a:schemeClr val="dk1"/>
    </cs:fontRef>
    <cs:spPr>
      <a:ln w="9525" cap="flat" cmpd="sng" algn="ctr">
        <a:solidFill>
          <a:schemeClr val="phClr"/>
        </a:solidFill>
        <a:miter lim="800000"/>
      </a:ln>
      <a:effectLst>
        <a:glow rad="63500">
          <a:schemeClr val="phClr">
            <a:satMod val="175000"/>
            <a:alpha val="25000"/>
          </a:schemeClr>
        </a:glow>
      </a:effectLst>
    </cs:spPr>
  </cs:dataPoint3D>
  <cs:dataPointLine>
    <cs:lnRef idx="0">
      <cs:styleClr val="auto"/>
    </cs:lnRef>
    <cs:fillRef idx="0">
      <cs:styleClr val="auto"/>
    </cs:fillRef>
    <cs:effectRef idx="0">
      <cs:styleClr val="auto"/>
    </cs:effectRef>
    <cs:fontRef idx="minor">
      <a:schemeClr val="dk1"/>
    </cs:fontRef>
    <cs:spPr>
      <a:ln w="22225" cap="rnd">
        <a:solidFill>
          <a:schemeClr val="phClr"/>
        </a:solidFill>
      </a:ln>
      <a:effectLst>
        <a:glow rad="139700">
          <a:schemeClr val="phClr">
            <a:satMod val="175000"/>
            <a:alpha val="14000"/>
          </a:schemeClr>
        </a:glow>
      </a:effectLst>
    </cs:spPr>
  </cs:dataPointLine>
  <cs:dataPointMarker>
    <cs:lnRef idx="0">
      <cs:styleClr val="auto"/>
    </cs:lnRef>
    <cs:fillRef idx="0">
      <cs:styleClr val="auto"/>
    </cs:fillRef>
    <cs:effectRef idx="0">
      <cs:styleClr val="auto"/>
    </cs:effectRef>
    <cs:fontRef idx="minor">
      <a:schemeClr val="dk1"/>
    </cs:fontRef>
    <cs:spPr>
      <a:solidFill>
        <a:schemeClr val="phClr">
          <a:lumMod val="60000"/>
          <a:lumOff val="40000"/>
        </a:schemeClr>
      </a:solidFill>
      <a:effectLst>
        <a:glow rad="63500">
          <a:schemeClr val="phClr">
            <a:satMod val="175000"/>
            <a:alpha val="25000"/>
          </a:schemeClr>
        </a:glow>
      </a:effectLst>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75000"/>
                <a:lumOff val="25000"/>
              </a:schemeClr>
            </a:gs>
            <a:gs pos="0">
              <a:schemeClr val="dk1">
                <a:lumMod val="65000"/>
                <a:lumOff val="3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dk1">
                <a:lumMod val="75000"/>
                <a:lumOff val="25000"/>
                <a:alpha val="25000"/>
              </a:schemeClr>
            </a:gs>
            <a:gs pos="0">
              <a:schemeClr val="dk1">
                <a:lumMod val="65000"/>
                <a:lumOff val="35000"/>
                <a:alpha val="25000"/>
              </a:schemeClr>
            </a:gs>
          </a:gsLst>
          <a:lin ang="5400000" scaled="0"/>
        </a:gradFill>
        <a:round/>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242c32be-31bf-422c-ab0d-7abc8ae381ac" xsi:nil="true"/>
    <Topic xmlns="242c32be-31bf-422c-ab0d-7abc8ae381ac">Governance</Topic>
    <Term xmlns="242c32be-31bf-422c-ab0d-7abc8ae381ac">
      <Value>Term2</Value>
    </Term>
    <Financial_x0020_Period xmlns="242c32be-31bf-422c-ab0d-7abc8ae381ac">2019/20</Financial_x0020_Period>
    <Estates_x0020_1 xmlns="242c32be-31bf-422c-ab0d-7abc8ae381ac"/>
    <DocType2 xmlns="242c32be-31bf-422c-ab0d-7abc8ae381ac">Agenda</DocType2>
    <Month xmlns="242c32be-31bf-422c-ab0d-7abc8ae381ac">Jan</Month>
    <ProjectSub xmlns="242c32be-31bf-422c-ab0d-7abc8ae381ac"/>
    <Destruction_x0020_Date xmlns="242c32be-31bf-422c-ab0d-7abc8ae381ac">3000-03-30T23:00:00+00:00</Destruction_x0020_Date>
    <TaxCatchAll xmlns="cf6dc0cf-1d45-4a2f-a37f-b5391cb0490c"/>
    <Forum xmlns="242c32be-31bf-422c-ab0d-7abc8ae381ac">PB</Forum>
    <Financial_x0020_Period0 xmlns="242c32be-31bf-422c-ab0d-7abc8ae381ac">Q3</Financial_x0020_Period0>
  </documentManagement>
</p:properties>
</file>

<file path=customXml/itemProps1.xml><?xml version="1.0" encoding="utf-8"?>
<ds:datastoreItem xmlns:ds="http://schemas.openxmlformats.org/officeDocument/2006/customXml" ds:itemID="{86CD062E-8F9A-4BA2-808A-E8743696C9D5}"/>
</file>

<file path=customXml/itemProps2.xml><?xml version="1.0" encoding="utf-8"?>
<ds:datastoreItem xmlns:ds="http://schemas.openxmlformats.org/officeDocument/2006/customXml" ds:itemID="{97C77EA3-6BC3-475C-8770-DD2A894E559B}"/>
</file>

<file path=customXml/itemProps3.xml><?xml version="1.0" encoding="utf-8"?>
<ds:datastoreItem xmlns:ds="http://schemas.openxmlformats.org/officeDocument/2006/customXml" ds:itemID="{E79DA499-E674-456C-8C82-D3282E5008B2}"/>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Debby</dc:creator>
  <cp:keywords/>
  <dc:description/>
  <cp:lastModifiedBy>Harries Mair OPCC</cp:lastModifiedBy>
  <cp:revision>1</cp:revision>
  <dcterms:created xsi:type="dcterms:W3CDTF">2021-05-04T05:21:00Z</dcterms:created>
  <dcterms:modified xsi:type="dcterms:W3CDTF">2021-05-04T05:21:00Z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2384fd1e-65ed-4251-aee5-d7d964faae7d</vt:lpwstr>
  </property>
  <property fmtid="{D5CDD505-2E9C-101B-9397-08002B2CF9AE}" pid="3" name="ContentTypeId">
    <vt:lpwstr>0x010100A0EF691A6D15C44892C3C7D4E4F3FC4A</vt:lpwstr>
  </property>
</Properties>
</file>