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ED16" w14:textId="77777777" w:rsidR="00134DDB" w:rsidRPr="00FE59E2" w:rsidRDefault="00134DDB" w:rsidP="00BE287E">
      <w:pPr>
        <w:ind w:left="567"/>
        <w:jc w:val="both"/>
        <w:rPr>
          <w:rFonts w:cs="Arial"/>
          <w:b/>
        </w:rPr>
      </w:pPr>
      <w:bookmarkStart w:id="0" w:name="_Toc392503950"/>
    </w:p>
    <w:p w14:paraId="419225A8" w14:textId="77777777" w:rsidR="00134DDB" w:rsidRPr="00FE59E2" w:rsidRDefault="00134DDB" w:rsidP="00BE287E">
      <w:pPr>
        <w:ind w:left="567"/>
        <w:jc w:val="both"/>
        <w:rPr>
          <w:rFonts w:cs="Arial"/>
          <w:b/>
        </w:rPr>
      </w:pPr>
    </w:p>
    <w:p w14:paraId="1EBB6E82" w14:textId="77777777" w:rsidR="00134DDB" w:rsidRPr="00FE59E2" w:rsidRDefault="00134DDB" w:rsidP="00BE287E">
      <w:pPr>
        <w:ind w:left="567"/>
        <w:jc w:val="both"/>
        <w:rPr>
          <w:rFonts w:cs="Arial"/>
          <w:b/>
        </w:rPr>
      </w:pPr>
    </w:p>
    <w:p w14:paraId="178B27DA" w14:textId="77777777" w:rsidR="00134DDB" w:rsidRPr="00FE59E2" w:rsidRDefault="00134DDB" w:rsidP="00BE287E">
      <w:pPr>
        <w:ind w:left="567"/>
        <w:jc w:val="both"/>
        <w:rPr>
          <w:rFonts w:cs="Arial"/>
          <w:b/>
        </w:rPr>
      </w:pPr>
    </w:p>
    <w:p w14:paraId="508499A1" w14:textId="77777777" w:rsidR="00134DDB" w:rsidRPr="00FE59E2" w:rsidRDefault="00134DDB" w:rsidP="00BE287E">
      <w:pPr>
        <w:ind w:left="567"/>
        <w:jc w:val="both"/>
        <w:rPr>
          <w:rFonts w:cs="Arial"/>
          <w:b/>
        </w:rPr>
      </w:pPr>
    </w:p>
    <w:p w14:paraId="0A06A19D" w14:textId="77777777" w:rsidR="00134DDB" w:rsidRPr="00FE59E2" w:rsidRDefault="00A76E8A" w:rsidP="00253B7D">
      <w:pPr>
        <w:jc w:val="center"/>
        <w:rPr>
          <w:rFonts w:cs="Arial"/>
          <w:b/>
        </w:rPr>
      </w:pPr>
      <w:r>
        <w:rPr>
          <w:rFonts w:cs="Arial"/>
          <w:b/>
          <w:noProof/>
          <w:lang w:eastAsia="en-GB"/>
        </w:rPr>
        <w:drawing>
          <wp:inline distT="0" distB="0" distL="0" distR="0" wp14:anchorId="24F67177" wp14:editId="1D6BB94D">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3B72BBA2" w14:textId="77777777" w:rsidR="00134DDB" w:rsidRPr="00FE59E2" w:rsidRDefault="00134DDB" w:rsidP="00253B7D">
      <w:pPr>
        <w:jc w:val="center"/>
        <w:rPr>
          <w:rFonts w:cs="Arial"/>
          <w:b/>
        </w:rPr>
      </w:pPr>
    </w:p>
    <w:p w14:paraId="037B91FD" w14:textId="66D89EF7" w:rsidR="006B1DE3" w:rsidRDefault="006B1DE3" w:rsidP="000B1369">
      <w:pPr>
        <w:rPr>
          <w:rFonts w:cs="Arial"/>
          <w:b/>
          <w:color w:val="17365D"/>
        </w:rPr>
      </w:pPr>
    </w:p>
    <w:p w14:paraId="550AEE69" w14:textId="77777777" w:rsidR="000B1369" w:rsidRPr="004F2278" w:rsidRDefault="00134DDB" w:rsidP="006B1DE3">
      <w:pPr>
        <w:jc w:val="center"/>
        <w:rPr>
          <w:rFonts w:ascii="Helvetica" w:hAnsi="Helvetica" w:cs="Helvetica"/>
          <w:b/>
          <w:color w:val="17365D"/>
          <w:sz w:val="26"/>
          <w:szCs w:val="26"/>
        </w:rPr>
      </w:pPr>
      <w:r w:rsidRPr="004F2278">
        <w:rPr>
          <w:rFonts w:ascii="Helvetica" w:hAnsi="Helvetica" w:cs="Helvetica"/>
          <w:b/>
          <w:color w:val="17365D"/>
          <w:sz w:val="26"/>
          <w:szCs w:val="26"/>
        </w:rPr>
        <w:t>Police and Crime</w:t>
      </w:r>
      <w:r w:rsidR="006B1DE3" w:rsidRPr="004F2278">
        <w:rPr>
          <w:rFonts w:ascii="Helvetica" w:hAnsi="Helvetica" w:cs="Helvetica"/>
          <w:b/>
          <w:color w:val="17365D"/>
          <w:sz w:val="26"/>
          <w:szCs w:val="26"/>
        </w:rPr>
        <w:t xml:space="preserve"> </w:t>
      </w:r>
      <w:r w:rsidRPr="004F2278">
        <w:rPr>
          <w:rFonts w:ascii="Helvetica" w:hAnsi="Helvetica" w:cs="Helvetica"/>
          <w:b/>
          <w:color w:val="17365D"/>
          <w:sz w:val="26"/>
          <w:szCs w:val="26"/>
        </w:rPr>
        <w:t xml:space="preserve">Commissioner </w:t>
      </w:r>
    </w:p>
    <w:p w14:paraId="3A91E911" w14:textId="5BE65D7E" w:rsidR="006B1DE3" w:rsidRPr="004F2278" w:rsidRDefault="000B1369" w:rsidP="000B1369">
      <w:pPr>
        <w:jc w:val="center"/>
        <w:rPr>
          <w:rFonts w:ascii="Helvetica" w:hAnsi="Helvetica" w:cs="Helvetica"/>
          <w:b/>
          <w:color w:val="17365D"/>
          <w:sz w:val="26"/>
          <w:szCs w:val="26"/>
        </w:rPr>
      </w:pPr>
      <w:proofErr w:type="gramStart"/>
      <w:r w:rsidRPr="004F2278">
        <w:rPr>
          <w:rFonts w:ascii="Helvetica" w:hAnsi="Helvetica" w:cs="Helvetica"/>
          <w:b/>
          <w:color w:val="17365D"/>
          <w:sz w:val="26"/>
          <w:szCs w:val="26"/>
        </w:rPr>
        <w:t>for</w:t>
      </w:r>
      <w:proofErr w:type="gramEnd"/>
      <w:r w:rsidRPr="004F2278">
        <w:rPr>
          <w:rFonts w:ascii="Helvetica" w:hAnsi="Helvetica" w:cs="Helvetica"/>
          <w:b/>
          <w:color w:val="17365D"/>
          <w:sz w:val="26"/>
          <w:szCs w:val="26"/>
        </w:rPr>
        <w:t xml:space="preserve"> Dyfed </w:t>
      </w:r>
      <w:r w:rsidR="00134DDB" w:rsidRPr="004F2278">
        <w:rPr>
          <w:rFonts w:ascii="Helvetica" w:hAnsi="Helvetica" w:cs="Helvetica"/>
          <w:b/>
          <w:color w:val="17365D"/>
          <w:sz w:val="26"/>
          <w:szCs w:val="26"/>
        </w:rPr>
        <w:t>Powys</w:t>
      </w:r>
    </w:p>
    <w:p w14:paraId="39276450" w14:textId="77777777" w:rsidR="00134DDB" w:rsidRPr="004F2278" w:rsidRDefault="00134DDB" w:rsidP="00253B7D">
      <w:pPr>
        <w:jc w:val="center"/>
        <w:rPr>
          <w:rFonts w:ascii="Helvetica" w:hAnsi="Helvetica" w:cs="Helvetica"/>
          <w:b/>
          <w:sz w:val="26"/>
          <w:szCs w:val="26"/>
        </w:rPr>
      </w:pPr>
    </w:p>
    <w:p w14:paraId="31566D23" w14:textId="77777777" w:rsidR="002368B5" w:rsidRPr="004F2278" w:rsidRDefault="002368B5" w:rsidP="00321CD2">
      <w:pPr>
        <w:jc w:val="center"/>
        <w:rPr>
          <w:rFonts w:ascii="Helvetica" w:hAnsi="Helvetica" w:cs="Helvetica"/>
          <w:b/>
          <w:color w:val="548DD4"/>
          <w:sz w:val="26"/>
          <w:szCs w:val="26"/>
        </w:rPr>
      </w:pPr>
    </w:p>
    <w:p w14:paraId="5BA5AC88" w14:textId="69274689" w:rsidR="00225E35" w:rsidRPr="004F2278" w:rsidRDefault="007648BA" w:rsidP="00926A27">
      <w:pPr>
        <w:jc w:val="center"/>
        <w:rPr>
          <w:rFonts w:ascii="Helvetica" w:hAnsi="Helvetica" w:cs="Helvetica"/>
          <w:b/>
          <w:color w:val="548DD4"/>
          <w:sz w:val="26"/>
          <w:szCs w:val="26"/>
        </w:rPr>
      </w:pPr>
      <w:r w:rsidRPr="004F2278">
        <w:rPr>
          <w:rFonts w:ascii="Helvetica" w:hAnsi="Helvetica" w:cs="Helvetica"/>
          <w:b/>
          <w:color w:val="548DD4"/>
          <w:sz w:val="26"/>
          <w:szCs w:val="26"/>
        </w:rPr>
        <w:t xml:space="preserve">Dip Sampling </w:t>
      </w:r>
      <w:r w:rsidR="005003F8" w:rsidRPr="004F2278">
        <w:rPr>
          <w:rFonts w:ascii="Helvetica" w:hAnsi="Helvetica" w:cs="Helvetica"/>
          <w:b/>
          <w:color w:val="548DD4"/>
          <w:sz w:val="26"/>
          <w:szCs w:val="26"/>
        </w:rPr>
        <w:t>–</w:t>
      </w:r>
      <w:r w:rsidR="00926A27">
        <w:rPr>
          <w:rFonts w:ascii="Helvetica" w:hAnsi="Helvetica" w:cs="Helvetica"/>
          <w:b/>
          <w:color w:val="548DD4"/>
          <w:sz w:val="26"/>
          <w:szCs w:val="26"/>
        </w:rPr>
        <w:t xml:space="preserve"> No Further Action</w:t>
      </w:r>
    </w:p>
    <w:p w14:paraId="35BA6F51" w14:textId="0F5F23FA" w:rsidR="005003F8" w:rsidRPr="004F2278" w:rsidRDefault="005003F8" w:rsidP="00321CD2">
      <w:pPr>
        <w:jc w:val="center"/>
        <w:rPr>
          <w:rFonts w:ascii="Helvetica" w:hAnsi="Helvetica" w:cs="Helvetica"/>
          <w:b/>
          <w:color w:val="548DD4"/>
          <w:sz w:val="26"/>
          <w:szCs w:val="26"/>
        </w:rPr>
      </w:pPr>
    </w:p>
    <w:p w14:paraId="4FF3F24E" w14:textId="77777777" w:rsidR="005003F8" w:rsidRPr="004F2278" w:rsidRDefault="005003F8" w:rsidP="00321CD2">
      <w:pPr>
        <w:jc w:val="center"/>
        <w:rPr>
          <w:rFonts w:ascii="Helvetica" w:hAnsi="Helvetica" w:cs="Helvetica"/>
          <w:b/>
          <w:color w:val="548DD4"/>
          <w:sz w:val="26"/>
          <w:szCs w:val="26"/>
        </w:rPr>
      </w:pPr>
    </w:p>
    <w:p w14:paraId="435ECA1B" w14:textId="1C9A9F6D" w:rsidR="005003F8" w:rsidRPr="004F2278" w:rsidRDefault="005003F8" w:rsidP="00321CD2">
      <w:pPr>
        <w:jc w:val="center"/>
        <w:rPr>
          <w:rFonts w:ascii="Helvetica" w:hAnsi="Helvetica" w:cs="Helvetica"/>
          <w:b/>
          <w:color w:val="1F497D" w:themeColor="text2"/>
          <w:sz w:val="26"/>
          <w:szCs w:val="26"/>
        </w:rPr>
      </w:pPr>
      <w:r w:rsidRPr="004F2278">
        <w:rPr>
          <w:rFonts w:ascii="Helvetica" w:hAnsi="Helvetica" w:cs="Helvetica"/>
          <w:b/>
          <w:color w:val="1F497D" w:themeColor="text2"/>
          <w:sz w:val="26"/>
          <w:szCs w:val="26"/>
        </w:rPr>
        <w:t>OPCC Findings &amp; Feedback</w:t>
      </w:r>
    </w:p>
    <w:p w14:paraId="7DD8CEEB" w14:textId="77777777" w:rsidR="008122F0" w:rsidRPr="004F2278" w:rsidRDefault="008122F0" w:rsidP="00253B7D">
      <w:pPr>
        <w:jc w:val="center"/>
        <w:rPr>
          <w:rFonts w:ascii="Helvetica" w:hAnsi="Helvetica" w:cs="Helvetica"/>
          <w:b/>
          <w:color w:val="548DD4"/>
          <w:sz w:val="26"/>
          <w:szCs w:val="26"/>
        </w:rPr>
      </w:pPr>
    </w:p>
    <w:p w14:paraId="018714B2" w14:textId="77777777" w:rsidR="00134DDB" w:rsidRPr="004F2278" w:rsidRDefault="00134DDB" w:rsidP="00253B7D">
      <w:pPr>
        <w:jc w:val="center"/>
        <w:rPr>
          <w:rFonts w:ascii="Helvetica" w:hAnsi="Helvetica" w:cs="Helvetica"/>
          <w:b/>
          <w:color w:val="17365D"/>
          <w:sz w:val="26"/>
          <w:szCs w:val="26"/>
        </w:rPr>
      </w:pPr>
      <w:bookmarkStart w:id="1" w:name="_GoBack"/>
      <w:bookmarkEnd w:id="1"/>
    </w:p>
    <w:p w14:paraId="3631A5CA" w14:textId="7153E2A1" w:rsidR="00134DDB" w:rsidRPr="004F2278" w:rsidRDefault="00926A27" w:rsidP="00253B7D">
      <w:pPr>
        <w:jc w:val="center"/>
        <w:rPr>
          <w:rFonts w:ascii="Helvetica" w:hAnsi="Helvetica" w:cs="Helvetica"/>
          <w:b/>
          <w:color w:val="17365D"/>
          <w:sz w:val="26"/>
          <w:szCs w:val="26"/>
        </w:rPr>
      </w:pPr>
      <w:r>
        <w:rPr>
          <w:rFonts w:ascii="Helvetica" w:hAnsi="Helvetica" w:cs="Helvetica"/>
          <w:b/>
          <w:color w:val="17365D"/>
          <w:sz w:val="26"/>
          <w:szCs w:val="26"/>
        </w:rPr>
        <w:t>March 2021</w:t>
      </w:r>
    </w:p>
    <w:p w14:paraId="29B207E8" w14:textId="77777777" w:rsidR="0043716A" w:rsidRPr="00A12C3F" w:rsidRDefault="0043716A" w:rsidP="00BE287E">
      <w:pPr>
        <w:jc w:val="both"/>
        <w:rPr>
          <w:rFonts w:ascii="Helvetica" w:hAnsi="Helvetica" w:cs="Helvetica"/>
          <w:b/>
        </w:rPr>
      </w:pPr>
    </w:p>
    <w:p w14:paraId="2DE62633" w14:textId="77777777" w:rsidR="00E64596" w:rsidRPr="00A12C3F" w:rsidRDefault="00E64596" w:rsidP="00BE287E">
      <w:pPr>
        <w:jc w:val="both"/>
        <w:rPr>
          <w:rFonts w:ascii="Helvetica" w:hAnsi="Helvetica" w:cs="Helvetica"/>
          <w:b/>
          <w:bCs/>
          <w:color w:val="365F91"/>
        </w:rPr>
        <w:sectPr w:rsidR="00E64596" w:rsidRPr="00A12C3F" w:rsidSect="00FE59E2">
          <w:headerReference w:type="default" r:id="rId13"/>
          <w:pgSz w:w="11906" w:h="16838"/>
          <w:pgMar w:top="1440" w:right="1440" w:bottom="1440" w:left="1440" w:header="708" w:footer="708" w:gutter="0"/>
          <w:cols w:space="708"/>
          <w:docGrid w:linePitch="360"/>
        </w:sectPr>
      </w:pPr>
    </w:p>
    <w:p w14:paraId="715440F9" w14:textId="141E2809" w:rsidR="00C823D7" w:rsidRPr="00A12C3F" w:rsidRDefault="007648BA" w:rsidP="00A66849">
      <w:pPr>
        <w:pStyle w:val="Heading2"/>
        <w:spacing w:after="240"/>
        <w:rPr>
          <w:rFonts w:ascii="Helvetica" w:hAnsi="Helvetica" w:cs="Helvetica"/>
        </w:rPr>
      </w:pPr>
      <w:r w:rsidRPr="00A12C3F">
        <w:rPr>
          <w:rFonts w:ascii="Helvetica" w:hAnsi="Helvetica" w:cs="Helvetica"/>
        </w:rPr>
        <w:lastRenderedPageBreak/>
        <w:t>1.0 Overview</w:t>
      </w:r>
    </w:p>
    <w:p w14:paraId="01DA1B54" w14:textId="67590C09" w:rsidR="007D67CD" w:rsidRPr="00574A1D" w:rsidRDefault="005D1333" w:rsidP="007D67CD">
      <w:pPr>
        <w:pStyle w:val="NoSpacing"/>
        <w:rPr>
          <w:rFonts w:ascii="Helvetica" w:hAnsi="Helvetica" w:cs="Helvetica"/>
        </w:rPr>
      </w:pPr>
      <w:r>
        <w:rPr>
          <w:rFonts w:ascii="Helvetica" w:hAnsi="Helvetica" w:cs="Helvetica"/>
        </w:rPr>
        <w:t>From the 2</w:t>
      </w:r>
      <w:r w:rsidRPr="005D1333">
        <w:rPr>
          <w:rFonts w:ascii="Helvetica" w:hAnsi="Helvetica" w:cs="Helvetica"/>
          <w:vertAlign w:val="superscript"/>
        </w:rPr>
        <w:t>nd</w:t>
      </w:r>
      <w:r>
        <w:rPr>
          <w:rFonts w:ascii="Helvetica" w:hAnsi="Helvetica" w:cs="Helvetica"/>
        </w:rPr>
        <w:t xml:space="preserve"> to the 4</w:t>
      </w:r>
      <w:r w:rsidRPr="005D1333">
        <w:rPr>
          <w:rFonts w:ascii="Helvetica" w:hAnsi="Helvetica" w:cs="Helvetica"/>
          <w:vertAlign w:val="superscript"/>
        </w:rPr>
        <w:t>th</w:t>
      </w:r>
      <w:r w:rsidR="00926A27">
        <w:rPr>
          <w:rFonts w:ascii="Helvetica" w:hAnsi="Helvetica" w:cs="Helvetica"/>
        </w:rPr>
        <w:t xml:space="preserve"> of March 2021</w:t>
      </w:r>
      <w:r w:rsidR="007648BA" w:rsidRPr="00A12C3F">
        <w:rPr>
          <w:rFonts w:ascii="Helvetica" w:hAnsi="Helvetica" w:cs="Helvetica"/>
        </w:rPr>
        <w:t xml:space="preserve"> the Office for the Police and Crime Commissioner (OPCC) revie</w:t>
      </w:r>
      <w:r w:rsidR="00926A27">
        <w:rPr>
          <w:rFonts w:ascii="Helvetica" w:hAnsi="Helvetica" w:cs="Helvetica"/>
        </w:rPr>
        <w:t>wed a rando</w:t>
      </w:r>
      <w:r w:rsidR="00F37BCE">
        <w:rPr>
          <w:rFonts w:ascii="Helvetica" w:hAnsi="Helvetica" w:cs="Helvetica"/>
        </w:rPr>
        <w:t>m selection of N</w:t>
      </w:r>
      <w:r w:rsidR="000A3BFA">
        <w:rPr>
          <w:rFonts w:ascii="Helvetica" w:hAnsi="Helvetica" w:cs="Helvetica"/>
        </w:rPr>
        <w:t xml:space="preserve">o </w:t>
      </w:r>
      <w:r w:rsidR="00F37BCE">
        <w:rPr>
          <w:rFonts w:ascii="Helvetica" w:hAnsi="Helvetica" w:cs="Helvetica"/>
        </w:rPr>
        <w:t>F</w:t>
      </w:r>
      <w:r w:rsidR="000A3BFA">
        <w:rPr>
          <w:rFonts w:ascii="Helvetica" w:hAnsi="Helvetica" w:cs="Helvetica"/>
        </w:rPr>
        <w:t xml:space="preserve">urther </w:t>
      </w:r>
      <w:r w:rsidR="00F37BCE">
        <w:rPr>
          <w:rFonts w:ascii="Helvetica" w:hAnsi="Helvetica" w:cs="Helvetica"/>
        </w:rPr>
        <w:t>A</w:t>
      </w:r>
      <w:r w:rsidR="000A3BFA">
        <w:rPr>
          <w:rFonts w:ascii="Helvetica" w:hAnsi="Helvetica" w:cs="Helvetica"/>
        </w:rPr>
        <w:t xml:space="preserve">ction </w:t>
      </w:r>
      <w:r w:rsidR="00C31CA0">
        <w:rPr>
          <w:rFonts w:ascii="Helvetica" w:hAnsi="Helvetica" w:cs="Helvetica"/>
        </w:rPr>
        <w:t>(NFA)</w:t>
      </w:r>
      <w:r w:rsidR="00926A27">
        <w:rPr>
          <w:rFonts w:ascii="Helvetica" w:hAnsi="Helvetica" w:cs="Helvetica"/>
        </w:rPr>
        <w:t xml:space="preserve"> cases closed by</w:t>
      </w:r>
      <w:r w:rsidR="00F37BCE">
        <w:rPr>
          <w:rFonts w:ascii="Helvetica" w:hAnsi="Helvetica" w:cs="Helvetica"/>
        </w:rPr>
        <w:t xml:space="preserve"> the</w:t>
      </w:r>
      <w:r w:rsidR="007648BA" w:rsidRPr="00A12C3F">
        <w:rPr>
          <w:rFonts w:ascii="Helvetica" w:hAnsi="Helvetica" w:cs="Helvetica"/>
        </w:rPr>
        <w:t xml:space="preserve"> Professi</w:t>
      </w:r>
      <w:r w:rsidR="00926A27">
        <w:rPr>
          <w:rFonts w:ascii="Helvetica" w:hAnsi="Helvetica" w:cs="Helvetica"/>
        </w:rPr>
        <w:t>onal Standards Department (PSD)</w:t>
      </w:r>
      <w:r w:rsidR="007648BA" w:rsidRPr="00A12C3F">
        <w:rPr>
          <w:rFonts w:ascii="Helvetica" w:hAnsi="Helvetica" w:cs="Helvetica"/>
        </w:rPr>
        <w:t xml:space="preserve"> for the</w:t>
      </w:r>
      <w:r w:rsidR="00926A27">
        <w:rPr>
          <w:rFonts w:ascii="Helvetica" w:hAnsi="Helvetica" w:cs="Helvetica"/>
        </w:rPr>
        <w:t xml:space="preserve"> last complete quar</w:t>
      </w:r>
      <w:r w:rsidR="00C31CA0">
        <w:rPr>
          <w:rFonts w:ascii="Helvetica" w:hAnsi="Helvetica" w:cs="Helvetica"/>
        </w:rPr>
        <w:t>ter i.e. October – December 2020</w:t>
      </w:r>
      <w:r w:rsidR="007648BA" w:rsidRPr="00A12C3F">
        <w:rPr>
          <w:rFonts w:ascii="Helvetica" w:hAnsi="Helvetica" w:cs="Helvetica"/>
        </w:rPr>
        <w:t>. The main purpose of this scrutiny work</w:t>
      </w:r>
      <w:r w:rsidR="00F37BCE">
        <w:rPr>
          <w:rFonts w:ascii="Helvetica" w:hAnsi="Helvetica" w:cs="Helvetica"/>
        </w:rPr>
        <w:t>,</w:t>
      </w:r>
      <w:r w:rsidR="007648BA" w:rsidRPr="00A12C3F">
        <w:rPr>
          <w:rFonts w:ascii="Helvetica" w:hAnsi="Helvetica" w:cs="Helvetica"/>
        </w:rPr>
        <w:t xml:space="preserve"> </w:t>
      </w:r>
      <w:r w:rsidR="001C241E">
        <w:rPr>
          <w:rFonts w:ascii="Helvetica" w:hAnsi="Helvetica" w:cs="Helvetica"/>
        </w:rPr>
        <w:t>was to independently review whether it was reasonable and proportionate to take no</w:t>
      </w:r>
      <w:r w:rsidR="00F37BCE">
        <w:rPr>
          <w:rFonts w:ascii="Helvetica" w:hAnsi="Helvetica" w:cs="Helvetica"/>
        </w:rPr>
        <w:t xml:space="preserve"> further action in relation to the recorded complaint</w:t>
      </w:r>
      <w:r w:rsidR="001C241E">
        <w:rPr>
          <w:rFonts w:ascii="Helvetica" w:hAnsi="Helvetica" w:cs="Helvetica"/>
        </w:rPr>
        <w:t xml:space="preserve"> and</w:t>
      </w:r>
      <w:r>
        <w:rPr>
          <w:rFonts w:ascii="Helvetica" w:hAnsi="Helvetica" w:cs="Helvetica"/>
        </w:rPr>
        <w:t xml:space="preserve"> whether the reasons for NFA were</w:t>
      </w:r>
      <w:r w:rsidR="001C241E">
        <w:rPr>
          <w:rFonts w:ascii="Helvetica" w:hAnsi="Helvetica" w:cs="Helvetica"/>
        </w:rPr>
        <w:t xml:space="preserve"> clearly explained to the complainant</w:t>
      </w:r>
      <w:r w:rsidR="009731E5">
        <w:rPr>
          <w:rFonts w:ascii="Helvetica" w:hAnsi="Helvetica" w:cs="Helvetica"/>
        </w:rPr>
        <w:t xml:space="preserve"> in-line with the </w:t>
      </w:r>
      <w:r w:rsidR="009731E5" w:rsidRPr="00A12C3F">
        <w:rPr>
          <w:rFonts w:ascii="Helvetica" w:hAnsi="Helvetica" w:cs="Helvetica"/>
        </w:rPr>
        <w:t xml:space="preserve">Independent Office for Police Conduct </w:t>
      </w:r>
      <w:r w:rsidR="009731E5">
        <w:rPr>
          <w:rFonts w:ascii="Helvetica" w:hAnsi="Helvetica" w:cs="Helvetica"/>
        </w:rPr>
        <w:t>(IOPC) Statutory Guidance 2020.</w:t>
      </w:r>
      <w:r w:rsidR="007D67CD">
        <w:rPr>
          <w:rFonts w:ascii="Helvetica" w:hAnsi="Helvetica" w:cs="Helvetica"/>
        </w:rPr>
        <w:br/>
      </w:r>
      <w:r w:rsidR="007D67CD">
        <w:rPr>
          <w:rFonts w:ascii="Helvetica" w:hAnsi="Helvetica" w:cs="Helvetica"/>
        </w:rPr>
        <w:br/>
        <w:t>As at 8</w:t>
      </w:r>
      <w:r w:rsidR="007D67CD" w:rsidRPr="007D67CD">
        <w:rPr>
          <w:rFonts w:ascii="Helvetica" w:hAnsi="Helvetica" w:cs="Helvetica"/>
          <w:vertAlign w:val="superscript"/>
        </w:rPr>
        <w:t>th</w:t>
      </w:r>
      <w:r w:rsidR="007D67CD">
        <w:rPr>
          <w:rFonts w:ascii="Helvetica" w:hAnsi="Helvetica" w:cs="Helvetica"/>
        </w:rPr>
        <w:t xml:space="preserve"> February 2021, a</w:t>
      </w:r>
      <w:r w:rsidR="007D67CD" w:rsidRPr="00574A1D">
        <w:rPr>
          <w:rFonts w:ascii="Helvetica" w:hAnsi="Helvetica" w:cs="Helvetica"/>
        </w:rPr>
        <w:t xml:space="preserve"> total of 42 </w:t>
      </w:r>
      <w:r w:rsidR="007D67CD">
        <w:rPr>
          <w:rFonts w:ascii="Helvetica" w:hAnsi="Helvetica" w:cs="Helvetica"/>
        </w:rPr>
        <w:t>No Further Action (</w:t>
      </w:r>
      <w:r w:rsidR="007D67CD" w:rsidRPr="00574A1D">
        <w:rPr>
          <w:rFonts w:ascii="Helvetica" w:hAnsi="Helvetica" w:cs="Helvetica"/>
        </w:rPr>
        <w:t>NFA</w:t>
      </w:r>
      <w:r w:rsidR="007D67CD">
        <w:rPr>
          <w:rFonts w:ascii="Helvetica" w:hAnsi="Helvetica" w:cs="Helvetica"/>
        </w:rPr>
        <w:t>)</w:t>
      </w:r>
      <w:r w:rsidR="007D67CD" w:rsidRPr="00574A1D">
        <w:rPr>
          <w:rFonts w:ascii="Helvetica" w:hAnsi="Helvetica" w:cs="Helvetica"/>
        </w:rPr>
        <w:t xml:space="preserve"> cases </w:t>
      </w:r>
      <w:r w:rsidR="007D67CD">
        <w:rPr>
          <w:rFonts w:ascii="Helvetica" w:hAnsi="Helvetica" w:cs="Helvetica"/>
        </w:rPr>
        <w:t>had been recorded and closed by PSD for</w:t>
      </w:r>
      <w:r w:rsidR="007D67CD" w:rsidRPr="00574A1D">
        <w:rPr>
          <w:rFonts w:ascii="Helvetica" w:hAnsi="Helvetica" w:cs="Helvetica"/>
        </w:rPr>
        <w:t xml:space="preserve"> the period 1</w:t>
      </w:r>
      <w:r w:rsidR="007D67CD" w:rsidRPr="007D67CD">
        <w:rPr>
          <w:rFonts w:ascii="Helvetica" w:hAnsi="Helvetica" w:cs="Helvetica"/>
          <w:vertAlign w:val="superscript"/>
        </w:rPr>
        <w:t>st</w:t>
      </w:r>
      <w:r w:rsidR="007D67CD">
        <w:rPr>
          <w:rFonts w:ascii="Helvetica" w:hAnsi="Helvetica" w:cs="Helvetica"/>
        </w:rPr>
        <w:t xml:space="preserve"> </w:t>
      </w:r>
      <w:r w:rsidR="007D67CD" w:rsidRPr="00574A1D">
        <w:rPr>
          <w:rFonts w:ascii="Helvetica" w:hAnsi="Helvetica" w:cs="Helvetica"/>
        </w:rPr>
        <w:t>October 2020 – 3</w:t>
      </w:r>
      <w:r w:rsidR="007D67CD">
        <w:rPr>
          <w:rFonts w:ascii="Helvetica" w:hAnsi="Helvetica" w:cs="Helvetica"/>
        </w:rPr>
        <w:t>1</w:t>
      </w:r>
      <w:r w:rsidR="007D67CD" w:rsidRPr="007D67CD">
        <w:rPr>
          <w:rFonts w:ascii="Helvetica" w:hAnsi="Helvetica" w:cs="Helvetica"/>
          <w:vertAlign w:val="superscript"/>
        </w:rPr>
        <w:t>st</w:t>
      </w:r>
      <w:r w:rsidR="007D67CD">
        <w:rPr>
          <w:rFonts w:ascii="Helvetica" w:hAnsi="Helvetica" w:cs="Helvetica"/>
        </w:rPr>
        <w:t xml:space="preserve"> </w:t>
      </w:r>
      <w:r w:rsidR="007D67CD" w:rsidRPr="00574A1D">
        <w:rPr>
          <w:rFonts w:ascii="Helvetica" w:hAnsi="Helvetica" w:cs="Helvetica"/>
        </w:rPr>
        <w:t>December 2020.</w:t>
      </w:r>
    </w:p>
    <w:p w14:paraId="43CB45EE" w14:textId="0ED69044" w:rsidR="00256F19" w:rsidRPr="00A12C3F" w:rsidRDefault="00256F19" w:rsidP="00256F19">
      <w:pPr>
        <w:pStyle w:val="Heading2"/>
        <w:spacing w:after="240"/>
        <w:rPr>
          <w:rFonts w:ascii="Helvetica" w:hAnsi="Helvetica" w:cs="Helvetica"/>
        </w:rPr>
      </w:pPr>
      <w:r w:rsidRPr="00A12C3F">
        <w:rPr>
          <w:rFonts w:ascii="Helvetica" w:hAnsi="Helvetica" w:cs="Helvetica"/>
        </w:rPr>
        <w:t>2.0 Background, Purpose and Methodology</w:t>
      </w:r>
    </w:p>
    <w:p w14:paraId="0C291958" w14:textId="6D52E303" w:rsidR="00687E3F" w:rsidRPr="00A12C3F" w:rsidRDefault="00256F19" w:rsidP="00256F19">
      <w:pPr>
        <w:pStyle w:val="NoSpacing"/>
        <w:rPr>
          <w:rFonts w:ascii="Helvetica" w:hAnsi="Helvetica" w:cs="Helvetica"/>
        </w:rPr>
      </w:pPr>
      <w:r w:rsidRPr="00A12C3F">
        <w:rPr>
          <w:rFonts w:ascii="Helvetica" w:hAnsi="Helvetica" w:cs="Helvetica"/>
        </w:rPr>
        <w:t xml:space="preserve">The background and purpose of the scrutiny dip sampling work, alongside how the dip sampling is carried out is detailed within the Complaints Scrutiny Framework and Dip Sampling Protocol, which are available on the PCC website </w:t>
      </w:r>
      <w:r w:rsidR="00687E3F" w:rsidRPr="00A12C3F">
        <w:rPr>
          <w:rFonts w:ascii="Helvetica" w:hAnsi="Helvetica" w:cs="Helvetica"/>
        </w:rPr>
        <w:t xml:space="preserve">via the following hyperlink: </w:t>
      </w:r>
      <w:hyperlink r:id="rId14" w:history="1">
        <w:r w:rsidR="00687E3F" w:rsidRPr="00A12C3F">
          <w:rPr>
            <w:rStyle w:val="Hyperlink"/>
            <w:rFonts w:ascii="Helvetica" w:hAnsi="Helvetica" w:cs="Helvetica"/>
          </w:rPr>
          <w:t>http://www.dyfedpowys-pcc.org.uk/en/the-office/strategies-and-policies/</w:t>
        </w:r>
      </w:hyperlink>
      <w:r w:rsidRPr="00A12C3F">
        <w:rPr>
          <w:rFonts w:ascii="Helvetica" w:hAnsi="Helvetica" w:cs="Helvetica"/>
        </w:rPr>
        <w:t>.</w:t>
      </w:r>
    </w:p>
    <w:p w14:paraId="1FDBD6AA" w14:textId="38E371D1" w:rsidR="00687E3F" w:rsidRDefault="00687E3F" w:rsidP="00256F19">
      <w:pPr>
        <w:pStyle w:val="NoSpacing"/>
        <w:rPr>
          <w:rFonts w:ascii="Helvetica" w:hAnsi="Helvetica" w:cs="Helvetica"/>
        </w:rPr>
      </w:pPr>
    </w:p>
    <w:p w14:paraId="7C16BFFA" w14:textId="3F51FABF" w:rsidR="00574A1D" w:rsidRPr="00574A1D" w:rsidRDefault="00574A1D" w:rsidP="00574A1D">
      <w:pPr>
        <w:pStyle w:val="NoSpacing"/>
        <w:rPr>
          <w:rFonts w:ascii="Helvetica" w:hAnsi="Helvetica" w:cs="Helvetica"/>
        </w:rPr>
      </w:pPr>
      <w:r w:rsidRPr="00574A1D">
        <w:rPr>
          <w:rFonts w:ascii="Helvetica" w:hAnsi="Helvetica" w:cs="Helvetica"/>
        </w:rPr>
        <w:t xml:space="preserve">The Policing and Crime Act 2017 and supporting regulations made significant changes to the police complaints and disciplinary systems. They introduced a number of changes designed to achieve a more customer-focused complaints system in February 2020. </w:t>
      </w:r>
      <w:r w:rsidRPr="00574A1D">
        <w:rPr>
          <w:rFonts w:ascii="Helvetica" w:hAnsi="Helvetica" w:cs="Helvetica"/>
        </w:rPr>
        <w:br/>
      </w:r>
      <w:r w:rsidRPr="00574A1D">
        <w:rPr>
          <w:rFonts w:ascii="Helvetica" w:hAnsi="Helvetica" w:cs="Helvetica"/>
        </w:rPr>
        <w:br/>
        <w:t>The complaints system was expanded to cover a broader range of matters. Formerly, the way that the term ‘complaint’ was defined meant that it needed to relate to the conduct of an individual officer. Now a complaint can be made about a much wider range of issues including the service provided by the police as an organisation. This was designed to increase access to the police complaints system. The IOPC expects forces to consider the information they keep about complaints with the intent of the reforms in mind – a positive obligation to increase access and to collect information that enables forces and local policing bodies to learn from complaints and other matters.</w:t>
      </w:r>
      <w:r w:rsidRPr="00574A1D">
        <w:rPr>
          <w:rFonts w:ascii="Helvetica" w:hAnsi="Helvetica" w:cs="Helvetica"/>
        </w:rPr>
        <w:br/>
      </w:r>
      <w:r w:rsidRPr="00574A1D">
        <w:rPr>
          <w:rFonts w:ascii="Helvetica" w:hAnsi="Helvetica" w:cs="Helvetica"/>
        </w:rPr>
        <w:br/>
        <w:t xml:space="preserve">The changes allow for certain types of complaints to be resolved outside the requirements of Schedule 3 to the Police Reform Act 2002, while those that have been recorded may be handled reasonably and proportionately otherwise than by investigation, by investigation, or, in some circumstances, no further action may be taken. This allows for the police to quickly learn from, and make improvements based on, the complaints they handle. </w:t>
      </w:r>
    </w:p>
    <w:p w14:paraId="08922822" w14:textId="77777777" w:rsidR="00574A1D" w:rsidRPr="00A12C3F" w:rsidRDefault="00574A1D" w:rsidP="00256F19">
      <w:pPr>
        <w:pStyle w:val="NoSpacing"/>
        <w:rPr>
          <w:rFonts w:ascii="Helvetica" w:hAnsi="Helvetica" w:cs="Helvetica"/>
        </w:rPr>
      </w:pPr>
    </w:p>
    <w:p w14:paraId="2EE9843C" w14:textId="5C0EB837" w:rsidR="00687E3F" w:rsidRPr="00A12C3F" w:rsidRDefault="00687E3F" w:rsidP="00687E3F">
      <w:pPr>
        <w:pStyle w:val="Heading2"/>
        <w:spacing w:after="240"/>
        <w:rPr>
          <w:rFonts w:ascii="Helvetica" w:hAnsi="Helvetica" w:cs="Helvetica"/>
        </w:rPr>
      </w:pPr>
      <w:r w:rsidRPr="00A12C3F">
        <w:rPr>
          <w:rFonts w:ascii="Helvetica" w:hAnsi="Helvetica" w:cs="Helvetica"/>
        </w:rPr>
        <w:t>3.0 Profess</w:t>
      </w:r>
      <w:r w:rsidR="001C241E">
        <w:rPr>
          <w:rFonts w:ascii="Helvetica" w:hAnsi="Helvetica" w:cs="Helvetica"/>
        </w:rPr>
        <w:t>ional Standards N</w:t>
      </w:r>
      <w:r w:rsidR="009731E5">
        <w:rPr>
          <w:rFonts w:ascii="Helvetica" w:hAnsi="Helvetica" w:cs="Helvetica"/>
        </w:rPr>
        <w:t>o Further Action (N</w:t>
      </w:r>
      <w:r w:rsidR="001C241E">
        <w:rPr>
          <w:rFonts w:ascii="Helvetica" w:hAnsi="Helvetica" w:cs="Helvetica"/>
        </w:rPr>
        <w:t>FA</w:t>
      </w:r>
      <w:r w:rsidR="009731E5">
        <w:rPr>
          <w:rFonts w:ascii="Helvetica" w:hAnsi="Helvetica" w:cs="Helvetica"/>
        </w:rPr>
        <w:t>)</w:t>
      </w:r>
      <w:r w:rsidRPr="00A12C3F">
        <w:rPr>
          <w:rFonts w:ascii="Helvetica" w:hAnsi="Helvetica" w:cs="Helvetica"/>
        </w:rPr>
        <w:t xml:space="preserve"> </w:t>
      </w:r>
      <w:r w:rsidR="00C64AB3" w:rsidRPr="00A12C3F">
        <w:rPr>
          <w:rFonts w:ascii="Helvetica" w:hAnsi="Helvetica" w:cs="Helvetica"/>
        </w:rPr>
        <w:t>Scrutiny Findings</w:t>
      </w:r>
    </w:p>
    <w:p w14:paraId="5FEDC721" w14:textId="09D66AD6" w:rsidR="00995F74" w:rsidRPr="00A12C3F" w:rsidRDefault="001C241E" w:rsidP="00687E3F">
      <w:pPr>
        <w:pStyle w:val="NoSpacing"/>
        <w:rPr>
          <w:rFonts w:ascii="Helvetica" w:hAnsi="Helvetica" w:cs="Helvetica"/>
        </w:rPr>
      </w:pPr>
      <w:r>
        <w:rPr>
          <w:rFonts w:ascii="Helvetica" w:hAnsi="Helvetica" w:cs="Helvetica"/>
        </w:rPr>
        <w:t>The OPCC reviewed a total of 5</w:t>
      </w:r>
      <w:r w:rsidR="000A3BFA">
        <w:rPr>
          <w:rFonts w:ascii="Helvetica" w:hAnsi="Helvetica" w:cs="Helvetica"/>
        </w:rPr>
        <w:t xml:space="preserve"> </w:t>
      </w:r>
      <w:r w:rsidR="00DD0514">
        <w:rPr>
          <w:rFonts w:ascii="Helvetica" w:hAnsi="Helvetica" w:cs="Helvetica"/>
        </w:rPr>
        <w:t>complaint cases closed between 1</w:t>
      </w:r>
      <w:r w:rsidR="009731E5">
        <w:rPr>
          <w:rFonts w:ascii="Helvetica" w:hAnsi="Helvetica" w:cs="Helvetica"/>
          <w:vertAlign w:val="superscript"/>
        </w:rPr>
        <w:t>st</w:t>
      </w:r>
      <w:r w:rsidR="00DD0514">
        <w:rPr>
          <w:rFonts w:ascii="Helvetica" w:hAnsi="Helvetica" w:cs="Helvetica"/>
        </w:rPr>
        <w:t xml:space="preserve"> October 2020 and 3</w:t>
      </w:r>
      <w:r w:rsidR="009731E5">
        <w:rPr>
          <w:rFonts w:ascii="Helvetica" w:hAnsi="Helvetica" w:cs="Helvetica"/>
        </w:rPr>
        <w:t>1</w:t>
      </w:r>
      <w:r w:rsidR="009731E5" w:rsidRPr="009731E5">
        <w:rPr>
          <w:rFonts w:ascii="Helvetica" w:hAnsi="Helvetica" w:cs="Helvetica"/>
          <w:vertAlign w:val="superscript"/>
        </w:rPr>
        <w:t>st</w:t>
      </w:r>
      <w:r w:rsidR="009731E5">
        <w:rPr>
          <w:rFonts w:ascii="Helvetica" w:hAnsi="Helvetica" w:cs="Helvetica"/>
        </w:rPr>
        <w:t xml:space="preserve"> </w:t>
      </w:r>
      <w:r w:rsidR="00DD0514">
        <w:rPr>
          <w:rFonts w:ascii="Helvetica" w:hAnsi="Helvetica" w:cs="Helvetica"/>
        </w:rPr>
        <w:t>December 2020</w:t>
      </w:r>
      <w:r w:rsidR="00687E3F" w:rsidRPr="00A12C3F">
        <w:rPr>
          <w:rFonts w:ascii="Helvetica" w:hAnsi="Helvetica" w:cs="Helvetica"/>
        </w:rPr>
        <w:t xml:space="preserve"> (10% of the total cases closed during the time period). </w:t>
      </w:r>
      <w:r w:rsidR="00170979" w:rsidRPr="00A12C3F">
        <w:rPr>
          <w:rFonts w:ascii="Helvetica" w:hAnsi="Helvetica" w:cs="Helvetica"/>
        </w:rPr>
        <w:t>P</w:t>
      </w:r>
      <w:r w:rsidR="000A3BFA">
        <w:rPr>
          <w:rFonts w:ascii="Helvetica" w:hAnsi="Helvetica" w:cs="Helvetica"/>
        </w:rPr>
        <w:t>SD provided the NFA</w:t>
      </w:r>
      <w:r w:rsidR="00170979" w:rsidRPr="00A12C3F">
        <w:rPr>
          <w:rFonts w:ascii="Helvetica" w:hAnsi="Helvetica" w:cs="Helvetica"/>
        </w:rPr>
        <w:t xml:space="preserve"> complaint ca</w:t>
      </w:r>
      <w:r w:rsidR="00DD0514">
        <w:rPr>
          <w:rFonts w:ascii="Helvetica" w:hAnsi="Helvetica" w:cs="Helvetica"/>
        </w:rPr>
        <w:t>se reference numbers alongside relevant documentation</w:t>
      </w:r>
      <w:r w:rsidR="009731E5">
        <w:rPr>
          <w:rFonts w:ascii="Helvetica" w:hAnsi="Helvetica" w:cs="Helvetica"/>
        </w:rPr>
        <w:t>,</w:t>
      </w:r>
      <w:r w:rsidR="00DD0514">
        <w:rPr>
          <w:rFonts w:ascii="Helvetica" w:hAnsi="Helvetica" w:cs="Helvetica"/>
        </w:rPr>
        <w:t xml:space="preserve"> explaining the reason for</w:t>
      </w:r>
      <w:r w:rsidR="009731E5">
        <w:rPr>
          <w:rFonts w:ascii="Helvetica" w:hAnsi="Helvetica" w:cs="Helvetica"/>
        </w:rPr>
        <w:t xml:space="preserve"> the </w:t>
      </w:r>
      <w:r w:rsidR="00DD0514">
        <w:rPr>
          <w:rFonts w:ascii="Helvetica" w:hAnsi="Helvetica" w:cs="Helvetica"/>
        </w:rPr>
        <w:t>no further action</w:t>
      </w:r>
      <w:r w:rsidR="009731E5">
        <w:rPr>
          <w:rFonts w:ascii="Helvetica" w:hAnsi="Helvetica" w:cs="Helvetica"/>
        </w:rPr>
        <w:t xml:space="preserve"> outcome</w:t>
      </w:r>
      <w:r w:rsidR="00DD0514">
        <w:rPr>
          <w:rFonts w:ascii="Helvetica" w:hAnsi="Helvetica" w:cs="Helvetica"/>
        </w:rPr>
        <w:t xml:space="preserve">. </w:t>
      </w:r>
      <w:r w:rsidR="00170979" w:rsidRPr="00A12C3F">
        <w:rPr>
          <w:rFonts w:ascii="Helvetica" w:hAnsi="Helvetica" w:cs="Helvetica"/>
        </w:rPr>
        <w:t>In order to ensure that the OPCC conside</w:t>
      </w:r>
      <w:r w:rsidR="005D1333">
        <w:rPr>
          <w:rFonts w:ascii="Helvetica" w:hAnsi="Helvetica" w:cs="Helvetica"/>
        </w:rPr>
        <w:t xml:space="preserve">red a range of NFA </w:t>
      </w:r>
      <w:r w:rsidR="00DD0514">
        <w:rPr>
          <w:rFonts w:ascii="Helvetica" w:hAnsi="Helvetica" w:cs="Helvetica"/>
        </w:rPr>
        <w:t>cases, the OPCC requested five</w:t>
      </w:r>
      <w:r w:rsidR="005D1333">
        <w:rPr>
          <w:rFonts w:ascii="Helvetica" w:hAnsi="Helvetica" w:cs="Helvetica"/>
        </w:rPr>
        <w:t xml:space="preserve"> NFA</w:t>
      </w:r>
      <w:r w:rsidR="00DD0514">
        <w:rPr>
          <w:rFonts w:ascii="Helvetica" w:hAnsi="Helvetica" w:cs="Helvetica"/>
        </w:rPr>
        <w:t xml:space="preserve"> closed complaint cases.</w:t>
      </w:r>
    </w:p>
    <w:p w14:paraId="712114DA" w14:textId="0E21705F" w:rsidR="00C64AB3" w:rsidRPr="0061762B" w:rsidRDefault="00A22CAE" w:rsidP="0061762B">
      <w:pPr>
        <w:pStyle w:val="Heading2"/>
        <w:spacing w:after="240"/>
        <w:rPr>
          <w:rFonts w:ascii="Helvetica" w:hAnsi="Helvetica" w:cs="Helvetica"/>
        </w:rPr>
      </w:pPr>
      <w:r>
        <w:rPr>
          <w:rFonts w:ascii="Helvetica" w:hAnsi="Helvetica" w:cs="Helvetica"/>
        </w:rPr>
        <w:t>3.1</w:t>
      </w:r>
      <w:r w:rsidR="00C64AB3" w:rsidRPr="00A12C3F">
        <w:rPr>
          <w:rFonts w:ascii="Helvetica" w:hAnsi="Helvetica" w:cs="Helvetica"/>
        </w:rPr>
        <w:t xml:space="preserve"> </w:t>
      </w:r>
      <w:r w:rsidR="0061762B">
        <w:rPr>
          <w:rFonts w:ascii="Helvetica" w:hAnsi="Helvetica" w:cs="Helvetica"/>
        </w:rPr>
        <w:t>U</w:t>
      </w:r>
      <w:r w:rsidR="00C64AB3">
        <w:rPr>
          <w:rFonts w:ascii="Helvetica" w:hAnsi="Helvetica" w:cs="Helvetica"/>
        </w:rPr>
        <w:t>nderstanding</w:t>
      </w:r>
      <w:r>
        <w:rPr>
          <w:rFonts w:ascii="Helvetica" w:hAnsi="Helvetica" w:cs="Helvetica"/>
        </w:rPr>
        <w:t xml:space="preserve">, </w:t>
      </w:r>
      <w:r w:rsidR="0061762B">
        <w:rPr>
          <w:rFonts w:ascii="Helvetica" w:hAnsi="Helvetica" w:cs="Helvetica"/>
        </w:rPr>
        <w:t xml:space="preserve">recording </w:t>
      </w:r>
      <w:r>
        <w:rPr>
          <w:rFonts w:ascii="Helvetica" w:hAnsi="Helvetica" w:cs="Helvetica"/>
        </w:rPr>
        <w:t>and response to</w:t>
      </w:r>
      <w:r w:rsidR="00C64AB3">
        <w:rPr>
          <w:rFonts w:ascii="Helvetica" w:hAnsi="Helvetica" w:cs="Helvetica"/>
        </w:rPr>
        <w:t xml:space="preserve"> the complaint</w:t>
      </w:r>
    </w:p>
    <w:p w14:paraId="6169E093" w14:textId="53C5FDB0" w:rsidR="00A22CAE" w:rsidRPr="00A22CAE" w:rsidRDefault="00891B8F" w:rsidP="00A22CAE">
      <w:pPr>
        <w:autoSpaceDE w:val="0"/>
        <w:autoSpaceDN w:val="0"/>
        <w:adjustRightInd w:val="0"/>
        <w:spacing w:after="0" w:line="240" w:lineRule="auto"/>
        <w:rPr>
          <w:rFonts w:ascii="Helvetica" w:hAnsi="Helvetica" w:cs="Helvetica"/>
          <w:u w:val="single"/>
          <w:lang w:eastAsia="en-GB"/>
        </w:rPr>
      </w:pPr>
      <w:r>
        <w:rPr>
          <w:rFonts w:ascii="Helvetica" w:hAnsi="Helvetica" w:cs="Helvetica"/>
          <w:u w:val="single"/>
          <w:lang w:eastAsia="en-GB"/>
        </w:rPr>
        <w:t xml:space="preserve">Case 1 </w:t>
      </w:r>
    </w:p>
    <w:p w14:paraId="35D95C71" w14:textId="77777777" w:rsidR="00A22CAE" w:rsidRPr="00A22CAE" w:rsidRDefault="00A22CAE" w:rsidP="00A22CAE">
      <w:pPr>
        <w:autoSpaceDE w:val="0"/>
        <w:autoSpaceDN w:val="0"/>
        <w:adjustRightInd w:val="0"/>
        <w:spacing w:after="0" w:line="240" w:lineRule="auto"/>
        <w:rPr>
          <w:rFonts w:ascii="Helvetica" w:hAnsi="Helvetica" w:cs="Helvetica"/>
          <w:lang w:eastAsia="en-GB"/>
        </w:rPr>
      </w:pPr>
    </w:p>
    <w:p w14:paraId="6EBC2A3F" w14:textId="77777777" w:rsidR="00A22CAE" w:rsidRDefault="00A22CAE" w:rsidP="00A22CAE">
      <w:pPr>
        <w:autoSpaceDE w:val="0"/>
        <w:autoSpaceDN w:val="0"/>
        <w:adjustRightInd w:val="0"/>
        <w:spacing w:after="0" w:line="240" w:lineRule="auto"/>
        <w:rPr>
          <w:rFonts w:ascii="Helvetica" w:hAnsi="Helvetica" w:cs="Helvetica"/>
          <w:lang w:eastAsia="en-GB"/>
        </w:rPr>
      </w:pPr>
      <w:r w:rsidRPr="00A22CAE">
        <w:rPr>
          <w:rFonts w:ascii="Helvetica" w:hAnsi="Helvetica" w:cs="Helvetica"/>
          <w:lang w:eastAsia="en-GB"/>
        </w:rPr>
        <w:t>This complaint case demonstrated good practice regarding communication between the complainant and PSD. Documents provided to the OPCC from PSD evidenced PSD seeking further clarity from the complainant, to ensure a clear understanding of the complaint. The outcome letter provided a clear rationale outlining why no further action would be taken and the letter also included guidance relating to the most appropriate route for raising their particular complaint (</w:t>
      </w:r>
      <w:r>
        <w:rPr>
          <w:rFonts w:ascii="Helvetica" w:hAnsi="Helvetica" w:cs="Helvetica"/>
          <w:lang w:eastAsia="en-GB"/>
        </w:rPr>
        <w:t>as Dyfed Powys Police was not the correct complaint body)</w:t>
      </w:r>
      <w:r w:rsidRPr="00A22CAE">
        <w:rPr>
          <w:rFonts w:ascii="Helvetica" w:hAnsi="Helvetica" w:cs="Helvetica"/>
          <w:lang w:eastAsia="en-GB"/>
        </w:rPr>
        <w:t>.</w:t>
      </w:r>
    </w:p>
    <w:p w14:paraId="43ADB2DD" w14:textId="77777777" w:rsidR="00A22CAE" w:rsidRDefault="00A22CAE" w:rsidP="00A22CAE">
      <w:pPr>
        <w:autoSpaceDE w:val="0"/>
        <w:autoSpaceDN w:val="0"/>
        <w:adjustRightInd w:val="0"/>
        <w:spacing w:after="0" w:line="240" w:lineRule="auto"/>
        <w:rPr>
          <w:rFonts w:ascii="Helvetica" w:hAnsi="Helvetica" w:cs="Helvetica"/>
          <w:lang w:eastAsia="en-GB"/>
        </w:rPr>
      </w:pPr>
    </w:p>
    <w:p w14:paraId="07DD87AB" w14:textId="2886AB46" w:rsidR="00E14993" w:rsidRPr="00E14993" w:rsidRDefault="00E14993" w:rsidP="00E14993">
      <w:pPr>
        <w:pStyle w:val="Default"/>
        <w:rPr>
          <w:rFonts w:ascii="Helvetica" w:hAnsi="Helvetica" w:cs="Helvetica"/>
          <w:color w:val="auto"/>
          <w:sz w:val="22"/>
          <w:szCs w:val="22"/>
          <w:u w:val="single"/>
          <w:lang w:eastAsia="en-GB"/>
        </w:rPr>
      </w:pPr>
      <w:r w:rsidRPr="00E14993">
        <w:rPr>
          <w:rFonts w:ascii="Helvetica" w:hAnsi="Helvetica" w:cs="Helvetica"/>
          <w:color w:val="auto"/>
          <w:sz w:val="22"/>
          <w:szCs w:val="22"/>
          <w:u w:val="single"/>
          <w:lang w:eastAsia="en-GB"/>
        </w:rPr>
        <w:t>Case</w:t>
      </w:r>
      <w:r w:rsidR="00A22CAE">
        <w:rPr>
          <w:rFonts w:ascii="Helvetica" w:hAnsi="Helvetica" w:cs="Helvetica"/>
          <w:color w:val="auto"/>
          <w:sz w:val="22"/>
          <w:szCs w:val="22"/>
          <w:u w:val="single"/>
          <w:lang w:eastAsia="en-GB"/>
        </w:rPr>
        <w:t xml:space="preserve"> 2</w:t>
      </w:r>
      <w:r w:rsidRPr="00E14993">
        <w:rPr>
          <w:rFonts w:ascii="Helvetica" w:hAnsi="Helvetica" w:cs="Helvetica"/>
          <w:color w:val="auto"/>
          <w:sz w:val="22"/>
          <w:szCs w:val="22"/>
          <w:u w:val="single"/>
          <w:lang w:eastAsia="en-GB"/>
        </w:rPr>
        <w:t xml:space="preserve"> </w:t>
      </w:r>
    </w:p>
    <w:p w14:paraId="6D53C4BA" w14:textId="77777777" w:rsidR="00E14993" w:rsidRDefault="00E14993" w:rsidP="00E14993">
      <w:pPr>
        <w:pStyle w:val="Default"/>
        <w:rPr>
          <w:rFonts w:ascii="Helvetica" w:hAnsi="Helvetica" w:cs="Helvetica"/>
          <w:color w:val="auto"/>
          <w:sz w:val="22"/>
          <w:szCs w:val="22"/>
          <w:lang w:eastAsia="en-GB"/>
        </w:rPr>
      </w:pPr>
    </w:p>
    <w:p w14:paraId="2A75438E" w14:textId="77777777" w:rsidR="00E14993" w:rsidRDefault="00D72C2F" w:rsidP="00E14993">
      <w:pPr>
        <w:pStyle w:val="Default"/>
        <w:rPr>
          <w:rFonts w:ascii="Helvetica" w:hAnsi="Helvetica" w:cs="Helvetica"/>
          <w:color w:val="auto"/>
          <w:sz w:val="22"/>
          <w:szCs w:val="22"/>
        </w:rPr>
      </w:pPr>
      <w:r w:rsidRPr="00E14993">
        <w:rPr>
          <w:rFonts w:ascii="Helvetica" w:hAnsi="Helvetica" w:cs="Helvetica"/>
          <w:color w:val="auto"/>
          <w:sz w:val="22"/>
          <w:szCs w:val="22"/>
          <w:lang w:eastAsia="en-GB"/>
        </w:rPr>
        <w:t xml:space="preserve">Within the IOPC Statutory Guidance 2020, it states </w:t>
      </w:r>
      <w:r w:rsidRPr="00E14993">
        <w:rPr>
          <w:rFonts w:ascii="Helvetica" w:hAnsi="Helvetica" w:cs="Helvetica"/>
          <w:i/>
          <w:color w:val="auto"/>
          <w:sz w:val="22"/>
          <w:szCs w:val="22"/>
          <w:lang w:eastAsia="en-GB"/>
        </w:rPr>
        <w:t>“</w:t>
      </w:r>
      <w:r w:rsidR="00E14993" w:rsidRPr="00E14993">
        <w:rPr>
          <w:rFonts w:ascii="Helvetica" w:hAnsi="Helvetica" w:cs="Helvetica"/>
          <w:i/>
          <w:color w:val="auto"/>
          <w:sz w:val="22"/>
          <w:szCs w:val="22"/>
        </w:rPr>
        <w:t xml:space="preserve">There may be circumstances where some enquiries are needed before it can be established that it is reasonable and proportionate to take no further action to handle the complaint after recording it. These circumstances include, for example, where: </w:t>
      </w:r>
      <w:r w:rsidRPr="00E14993">
        <w:rPr>
          <w:rFonts w:ascii="Helvetica" w:hAnsi="Helvetica" w:cs="Helvetica"/>
          <w:i/>
          <w:color w:val="auto"/>
          <w:sz w:val="22"/>
          <w:szCs w:val="22"/>
        </w:rPr>
        <w:t>It is established that the complaint has already been responded to and no new evidence or concerns are apparent. However, if a complainant raises similar issues to ones they have raised before, this is not necessarily a reason in it</w:t>
      </w:r>
      <w:r w:rsidR="00E14993" w:rsidRPr="00E14993">
        <w:rPr>
          <w:rFonts w:ascii="Helvetica" w:hAnsi="Helvetica" w:cs="Helvetica"/>
          <w:i/>
          <w:color w:val="auto"/>
          <w:sz w:val="22"/>
          <w:szCs w:val="22"/>
        </w:rPr>
        <w:t>self to take no further action.”</w:t>
      </w:r>
      <w:r w:rsidR="00E14993" w:rsidRPr="00E14993">
        <w:rPr>
          <w:rFonts w:ascii="Helvetica" w:hAnsi="Helvetica" w:cs="Helvetica"/>
          <w:color w:val="auto"/>
          <w:sz w:val="22"/>
          <w:szCs w:val="22"/>
        </w:rPr>
        <w:t xml:space="preserve"> </w:t>
      </w:r>
    </w:p>
    <w:p w14:paraId="54EE7690" w14:textId="77777777" w:rsidR="00E14993" w:rsidRDefault="00E14993" w:rsidP="00E14993">
      <w:pPr>
        <w:pStyle w:val="Default"/>
        <w:rPr>
          <w:rFonts w:ascii="Helvetica" w:hAnsi="Helvetica" w:cs="Helvetica"/>
          <w:color w:val="auto"/>
          <w:sz w:val="22"/>
          <w:szCs w:val="22"/>
        </w:rPr>
      </w:pPr>
    </w:p>
    <w:p w14:paraId="2B729104" w14:textId="735EE328" w:rsidR="00E14993" w:rsidRDefault="00E14993" w:rsidP="00E14993">
      <w:pPr>
        <w:pStyle w:val="Default"/>
        <w:rPr>
          <w:rFonts w:ascii="Helvetica" w:hAnsi="Helvetica" w:cs="Helvetica"/>
          <w:color w:val="auto"/>
          <w:sz w:val="22"/>
          <w:szCs w:val="22"/>
          <w:lang w:eastAsia="en-GB"/>
        </w:rPr>
      </w:pPr>
      <w:r w:rsidRPr="00E14993">
        <w:rPr>
          <w:rFonts w:ascii="Helvetica" w:hAnsi="Helvetica" w:cs="Helvetica"/>
          <w:color w:val="auto"/>
          <w:sz w:val="22"/>
          <w:szCs w:val="22"/>
        </w:rPr>
        <w:t xml:space="preserve">Having considered complaint reference </w:t>
      </w:r>
      <w:r w:rsidR="00891B8F">
        <w:rPr>
          <w:rFonts w:ascii="Helvetica" w:hAnsi="Helvetica" w:cs="Helvetica"/>
          <w:color w:val="auto"/>
          <w:sz w:val="22"/>
          <w:szCs w:val="22"/>
          <w:lang w:eastAsia="en-GB"/>
        </w:rPr>
        <w:t>Case 2</w:t>
      </w:r>
      <w:r>
        <w:rPr>
          <w:rFonts w:ascii="Helvetica" w:hAnsi="Helvetica" w:cs="Helvetica"/>
          <w:color w:val="auto"/>
          <w:sz w:val="22"/>
          <w:szCs w:val="22"/>
          <w:lang w:eastAsia="en-GB"/>
        </w:rPr>
        <w:t xml:space="preserve">, it was noted that PSD interpreted this complaint to be a complaint that had already been responded to and therefore took the decision that NFA was necessary. </w:t>
      </w:r>
      <w:r w:rsidR="00B708DB" w:rsidRPr="00E14993">
        <w:rPr>
          <w:rFonts w:ascii="Helvetica" w:hAnsi="Helvetica" w:cs="Helvetica"/>
          <w:color w:val="auto"/>
          <w:sz w:val="22"/>
          <w:szCs w:val="22"/>
          <w:lang w:eastAsia="en-GB"/>
        </w:rPr>
        <w:t xml:space="preserve">However, </w:t>
      </w:r>
      <w:r>
        <w:rPr>
          <w:rFonts w:ascii="Helvetica" w:hAnsi="Helvetica" w:cs="Helvetica"/>
          <w:color w:val="auto"/>
          <w:sz w:val="22"/>
          <w:szCs w:val="22"/>
          <w:lang w:eastAsia="en-GB"/>
        </w:rPr>
        <w:t xml:space="preserve">when the OPCC </w:t>
      </w:r>
      <w:r w:rsidR="00B708DB" w:rsidRPr="00E14993">
        <w:rPr>
          <w:rFonts w:ascii="Helvetica" w:hAnsi="Helvetica" w:cs="Helvetica"/>
          <w:color w:val="auto"/>
          <w:sz w:val="22"/>
          <w:szCs w:val="22"/>
          <w:lang w:eastAsia="en-GB"/>
        </w:rPr>
        <w:t>read the</w:t>
      </w:r>
      <w:r w:rsidR="008E39C2" w:rsidRPr="00E14993">
        <w:rPr>
          <w:rFonts w:ascii="Helvetica" w:hAnsi="Helvetica" w:cs="Helvetica"/>
          <w:color w:val="auto"/>
          <w:sz w:val="22"/>
          <w:szCs w:val="22"/>
          <w:lang w:eastAsia="en-GB"/>
        </w:rPr>
        <w:t xml:space="preserve"> online</w:t>
      </w:r>
      <w:r w:rsidR="00B708DB" w:rsidRPr="00E14993">
        <w:rPr>
          <w:rFonts w:ascii="Helvetica" w:hAnsi="Helvetica" w:cs="Helvetica"/>
          <w:color w:val="auto"/>
          <w:sz w:val="22"/>
          <w:szCs w:val="22"/>
          <w:lang w:eastAsia="en-GB"/>
        </w:rPr>
        <w:t xml:space="preserve"> </w:t>
      </w:r>
      <w:r>
        <w:rPr>
          <w:rFonts w:ascii="Helvetica" w:hAnsi="Helvetica" w:cs="Helvetica"/>
          <w:color w:val="auto"/>
          <w:sz w:val="22"/>
          <w:szCs w:val="22"/>
          <w:lang w:eastAsia="en-GB"/>
        </w:rPr>
        <w:t xml:space="preserve">complaint </w:t>
      </w:r>
      <w:r w:rsidR="00B708DB" w:rsidRPr="00E14993">
        <w:rPr>
          <w:rFonts w:ascii="Helvetica" w:hAnsi="Helvetica" w:cs="Helvetica"/>
          <w:color w:val="auto"/>
          <w:sz w:val="22"/>
          <w:szCs w:val="22"/>
          <w:lang w:eastAsia="en-GB"/>
        </w:rPr>
        <w:t>form completed by the complainant</w:t>
      </w:r>
      <w:r>
        <w:rPr>
          <w:rFonts w:ascii="Helvetica" w:hAnsi="Helvetica" w:cs="Helvetica"/>
          <w:color w:val="auto"/>
          <w:sz w:val="22"/>
          <w:szCs w:val="22"/>
          <w:lang w:eastAsia="en-GB"/>
        </w:rPr>
        <w:t>,</w:t>
      </w:r>
      <w:r w:rsidR="00B708DB" w:rsidRPr="00E14993">
        <w:rPr>
          <w:rFonts w:ascii="Helvetica" w:hAnsi="Helvetica" w:cs="Helvetica"/>
          <w:color w:val="auto"/>
          <w:sz w:val="22"/>
          <w:szCs w:val="22"/>
          <w:lang w:eastAsia="en-GB"/>
        </w:rPr>
        <w:t xml:space="preserve"> </w:t>
      </w:r>
      <w:r>
        <w:rPr>
          <w:rFonts w:ascii="Helvetica" w:hAnsi="Helvetica" w:cs="Helvetica"/>
          <w:color w:val="auto"/>
          <w:sz w:val="22"/>
          <w:szCs w:val="22"/>
          <w:lang w:eastAsia="en-GB"/>
        </w:rPr>
        <w:t xml:space="preserve">it was noted that the online complaint form included complaint </w:t>
      </w:r>
      <w:r w:rsidR="00B708DB" w:rsidRPr="00E14993">
        <w:rPr>
          <w:rFonts w:ascii="Helvetica" w:hAnsi="Helvetica" w:cs="Helvetica"/>
          <w:color w:val="auto"/>
          <w:sz w:val="22"/>
          <w:szCs w:val="22"/>
          <w:lang w:eastAsia="en-GB"/>
        </w:rPr>
        <w:t xml:space="preserve">allegations which </w:t>
      </w:r>
      <w:r>
        <w:rPr>
          <w:rFonts w:ascii="Helvetica" w:hAnsi="Helvetica" w:cs="Helvetica"/>
          <w:color w:val="auto"/>
          <w:sz w:val="22"/>
          <w:szCs w:val="22"/>
          <w:lang w:eastAsia="en-GB"/>
        </w:rPr>
        <w:t>were not</w:t>
      </w:r>
      <w:r w:rsidR="00B708DB" w:rsidRPr="00E14993">
        <w:rPr>
          <w:rFonts w:ascii="Helvetica" w:hAnsi="Helvetica" w:cs="Helvetica"/>
          <w:color w:val="auto"/>
          <w:sz w:val="22"/>
          <w:szCs w:val="22"/>
          <w:lang w:eastAsia="en-GB"/>
        </w:rPr>
        <w:t xml:space="preserve"> addressed in the </w:t>
      </w:r>
      <w:r>
        <w:rPr>
          <w:rFonts w:ascii="Helvetica" w:hAnsi="Helvetica" w:cs="Helvetica"/>
          <w:color w:val="auto"/>
          <w:sz w:val="22"/>
          <w:szCs w:val="22"/>
          <w:lang w:eastAsia="en-GB"/>
        </w:rPr>
        <w:t xml:space="preserve">PSD NFA </w:t>
      </w:r>
      <w:r w:rsidR="00B708DB" w:rsidRPr="00E14993">
        <w:rPr>
          <w:rFonts w:ascii="Helvetica" w:hAnsi="Helvetica" w:cs="Helvetica"/>
          <w:color w:val="auto"/>
          <w:sz w:val="22"/>
          <w:szCs w:val="22"/>
          <w:lang w:eastAsia="en-GB"/>
        </w:rPr>
        <w:t>outcome letter.</w:t>
      </w:r>
      <w:r w:rsidR="000A3BFA" w:rsidRPr="00E14993">
        <w:rPr>
          <w:rFonts w:ascii="Helvetica" w:hAnsi="Helvetica" w:cs="Helvetica"/>
          <w:color w:val="auto"/>
          <w:sz w:val="22"/>
          <w:szCs w:val="22"/>
          <w:lang w:eastAsia="en-GB"/>
        </w:rPr>
        <w:t xml:space="preserve"> </w:t>
      </w:r>
      <w:r>
        <w:rPr>
          <w:rFonts w:ascii="Helvetica" w:hAnsi="Helvetica" w:cs="Helvetica"/>
          <w:color w:val="auto"/>
          <w:sz w:val="22"/>
          <w:szCs w:val="22"/>
          <w:lang w:eastAsia="en-GB"/>
        </w:rPr>
        <w:t xml:space="preserve">The complainant subsequently requested a review with the IOPC and this was identified by the IOPC during their review – however, the review was not upheld by the IOPC, as the reviewing body are only able to consider the recorded complaint when carrying out a </w:t>
      </w:r>
      <w:r w:rsidR="000A3BFA" w:rsidRPr="00E14993">
        <w:rPr>
          <w:rFonts w:ascii="Helvetica" w:hAnsi="Helvetica" w:cs="Helvetica"/>
          <w:color w:val="auto"/>
          <w:sz w:val="22"/>
          <w:szCs w:val="22"/>
          <w:lang w:eastAsia="en-GB"/>
        </w:rPr>
        <w:t>r</w:t>
      </w:r>
      <w:r w:rsidR="003A3C08" w:rsidRPr="00E14993">
        <w:rPr>
          <w:rFonts w:ascii="Helvetica" w:hAnsi="Helvetica" w:cs="Helvetica"/>
          <w:color w:val="auto"/>
          <w:sz w:val="22"/>
          <w:szCs w:val="22"/>
          <w:lang w:eastAsia="en-GB"/>
        </w:rPr>
        <w:t>eview</w:t>
      </w:r>
      <w:r>
        <w:rPr>
          <w:rFonts w:ascii="Helvetica" w:hAnsi="Helvetica" w:cs="Helvetica"/>
          <w:color w:val="auto"/>
          <w:sz w:val="22"/>
          <w:szCs w:val="22"/>
          <w:lang w:eastAsia="en-GB"/>
        </w:rPr>
        <w:t>.</w:t>
      </w:r>
      <w:r>
        <w:rPr>
          <w:rFonts w:ascii="Helvetica" w:hAnsi="Helvetica" w:cs="Helvetica"/>
          <w:color w:val="auto"/>
          <w:sz w:val="22"/>
          <w:szCs w:val="22"/>
          <w:lang w:eastAsia="en-GB"/>
        </w:rPr>
        <w:br/>
      </w:r>
      <w:r>
        <w:rPr>
          <w:rFonts w:ascii="Helvetica" w:hAnsi="Helvetica" w:cs="Helvetica"/>
          <w:color w:val="auto"/>
          <w:sz w:val="22"/>
          <w:szCs w:val="22"/>
          <w:lang w:eastAsia="en-GB"/>
        </w:rPr>
        <w:br/>
        <w:t xml:space="preserve">The OPCC noted that </w:t>
      </w:r>
      <w:r w:rsidR="008E39C2" w:rsidRPr="00E14993">
        <w:rPr>
          <w:rFonts w:ascii="Helvetica" w:hAnsi="Helvetica" w:cs="Helvetica"/>
          <w:color w:val="auto"/>
          <w:sz w:val="22"/>
          <w:szCs w:val="22"/>
          <w:lang w:eastAsia="en-GB"/>
        </w:rPr>
        <w:t xml:space="preserve">an acknowledgement email </w:t>
      </w:r>
      <w:r>
        <w:rPr>
          <w:rFonts w:ascii="Helvetica" w:hAnsi="Helvetica" w:cs="Helvetica"/>
          <w:color w:val="auto"/>
          <w:sz w:val="22"/>
          <w:szCs w:val="22"/>
          <w:lang w:eastAsia="en-GB"/>
        </w:rPr>
        <w:t xml:space="preserve">had been </w:t>
      </w:r>
      <w:r w:rsidR="008E39C2" w:rsidRPr="00E14993">
        <w:rPr>
          <w:rFonts w:ascii="Helvetica" w:hAnsi="Helvetica" w:cs="Helvetica"/>
          <w:color w:val="auto"/>
          <w:sz w:val="22"/>
          <w:szCs w:val="22"/>
          <w:lang w:eastAsia="en-GB"/>
        </w:rPr>
        <w:t>sent to the complainant on 12</w:t>
      </w:r>
      <w:r w:rsidR="008E39C2" w:rsidRPr="00E14993">
        <w:rPr>
          <w:rFonts w:ascii="Helvetica" w:hAnsi="Helvetica" w:cs="Helvetica"/>
          <w:color w:val="auto"/>
          <w:sz w:val="22"/>
          <w:szCs w:val="22"/>
          <w:vertAlign w:val="superscript"/>
          <w:lang w:eastAsia="en-GB"/>
        </w:rPr>
        <w:t>th</w:t>
      </w:r>
      <w:r>
        <w:rPr>
          <w:rFonts w:ascii="Helvetica" w:hAnsi="Helvetica" w:cs="Helvetica"/>
          <w:color w:val="auto"/>
          <w:sz w:val="22"/>
          <w:szCs w:val="22"/>
          <w:lang w:eastAsia="en-GB"/>
        </w:rPr>
        <w:t xml:space="preserve"> </w:t>
      </w:r>
      <w:r w:rsidR="008E39C2" w:rsidRPr="00E14993">
        <w:rPr>
          <w:rFonts w:ascii="Helvetica" w:hAnsi="Helvetica" w:cs="Helvetica"/>
          <w:color w:val="auto"/>
          <w:sz w:val="22"/>
          <w:szCs w:val="22"/>
          <w:lang w:eastAsia="en-GB"/>
        </w:rPr>
        <w:t xml:space="preserve">October </w:t>
      </w:r>
      <w:r>
        <w:rPr>
          <w:rFonts w:ascii="Helvetica" w:hAnsi="Helvetica" w:cs="Helvetica"/>
          <w:color w:val="auto"/>
          <w:sz w:val="22"/>
          <w:szCs w:val="22"/>
          <w:lang w:eastAsia="en-GB"/>
        </w:rPr>
        <w:t xml:space="preserve">2020, </w:t>
      </w:r>
      <w:r w:rsidR="008E39C2" w:rsidRPr="00E14993">
        <w:rPr>
          <w:rFonts w:ascii="Helvetica" w:hAnsi="Helvetica" w:cs="Helvetica"/>
          <w:color w:val="auto"/>
          <w:sz w:val="22"/>
          <w:szCs w:val="22"/>
          <w:lang w:eastAsia="en-GB"/>
        </w:rPr>
        <w:t xml:space="preserve">however </w:t>
      </w:r>
      <w:r>
        <w:rPr>
          <w:rFonts w:ascii="Helvetica" w:hAnsi="Helvetica" w:cs="Helvetica"/>
          <w:color w:val="auto"/>
          <w:sz w:val="22"/>
          <w:szCs w:val="22"/>
          <w:lang w:eastAsia="en-GB"/>
        </w:rPr>
        <w:t xml:space="preserve">the acknowledgment did not include </w:t>
      </w:r>
      <w:r w:rsidR="008E39C2" w:rsidRPr="00E14993">
        <w:rPr>
          <w:rFonts w:ascii="Helvetica" w:hAnsi="Helvetica" w:cs="Helvetica"/>
          <w:color w:val="auto"/>
          <w:sz w:val="22"/>
          <w:szCs w:val="22"/>
          <w:lang w:eastAsia="en-GB"/>
        </w:rPr>
        <w:t xml:space="preserve">a summary of the </w:t>
      </w:r>
      <w:r>
        <w:rPr>
          <w:rFonts w:ascii="Helvetica" w:hAnsi="Helvetica" w:cs="Helvetica"/>
          <w:color w:val="auto"/>
          <w:sz w:val="22"/>
          <w:szCs w:val="22"/>
          <w:lang w:eastAsia="en-GB"/>
        </w:rPr>
        <w:t xml:space="preserve">recorded </w:t>
      </w:r>
      <w:r w:rsidR="008E39C2" w:rsidRPr="00E14993">
        <w:rPr>
          <w:rFonts w:ascii="Helvetica" w:hAnsi="Helvetica" w:cs="Helvetica"/>
          <w:color w:val="auto"/>
          <w:sz w:val="22"/>
          <w:szCs w:val="22"/>
          <w:lang w:eastAsia="en-GB"/>
        </w:rPr>
        <w:t xml:space="preserve">complaint </w:t>
      </w:r>
      <w:r>
        <w:rPr>
          <w:rFonts w:ascii="Helvetica" w:hAnsi="Helvetica" w:cs="Helvetica"/>
          <w:color w:val="auto"/>
          <w:sz w:val="22"/>
          <w:szCs w:val="22"/>
          <w:lang w:eastAsia="en-GB"/>
        </w:rPr>
        <w:t>either within the body of the email, nor as a separate case register document</w:t>
      </w:r>
      <w:r w:rsidR="008E39C2" w:rsidRPr="00E14993">
        <w:rPr>
          <w:rFonts w:ascii="Helvetica" w:hAnsi="Helvetica" w:cs="Helvetica"/>
          <w:color w:val="auto"/>
          <w:sz w:val="22"/>
          <w:szCs w:val="22"/>
          <w:lang w:eastAsia="en-GB"/>
        </w:rPr>
        <w:t xml:space="preserve">. </w:t>
      </w:r>
    </w:p>
    <w:p w14:paraId="78A01409" w14:textId="77777777" w:rsidR="00E14993" w:rsidRDefault="00E14993" w:rsidP="00E14993">
      <w:pPr>
        <w:pStyle w:val="Default"/>
        <w:rPr>
          <w:rFonts w:ascii="Helvetica" w:hAnsi="Helvetica" w:cs="Helvetica"/>
          <w:color w:val="auto"/>
          <w:sz w:val="22"/>
          <w:szCs w:val="22"/>
          <w:lang w:eastAsia="en-GB"/>
        </w:rPr>
      </w:pPr>
    </w:p>
    <w:p w14:paraId="70C9B0B7" w14:textId="21E0AD25" w:rsidR="008E39C2" w:rsidRPr="00E14993" w:rsidRDefault="00E14993" w:rsidP="00E14993">
      <w:pPr>
        <w:pStyle w:val="Default"/>
        <w:rPr>
          <w:rFonts w:ascii="Helvetica" w:hAnsi="Helvetica" w:cs="Helvetica"/>
          <w:color w:val="auto"/>
          <w:sz w:val="22"/>
          <w:szCs w:val="22"/>
          <w:lang w:eastAsia="en-GB"/>
        </w:rPr>
      </w:pPr>
      <w:r>
        <w:rPr>
          <w:rFonts w:ascii="Helvetica" w:hAnsi="Helvetica" w:cs="Helvetica"/>
          <w:color w:val="auto"/>
          <w:sz w:val="22"/>
          <w:szCs w:val="22"/>
          <w:lang w:eastAsia="en-GB"/>
        </w:rPr>
        <w:t xml:space="preserve">The OPCC have identified that the inclusion of a </w:t>
      </w:r>
      <w:r w:rsidR="008E39C2" w:rsidRPr="00E14993">
        <w:rPr>
          <w:rFonts w:ascii="Helvetica" w:hAnsi="Helvetica" w:cs="Helvetica"/>
          <w:color w:val="auto"/>
          <w:sz w:val="22"/>
          <w:szCs w:val="22"/>
          <w:lang w:eastAsia="en-GB"/>
        </w:rPr>
        <w:t xml:space="preserve">summary </w:t>
      </w:r>
      <w:r>
        <w:rPr>
          <w:rFonts w:ascii="Helvetica" w:hAnsi="Helvetica" w:cs="Helvetica"/>
          <w:color w:val="auto"/>
          <w:sz w:val="22"/>
          <w:szCs w:val="22"/>
          <w:lang w:eastAsia="en-GB"/>
        </w:rPr>
        <w:t xml:space="preserve">of the complaint </w:t>
      </w:r>
      <w:r w:rsidR="008E39C2" w:rsidRPr="00E14993">
        <w:rPr>
          <w:rFonts w:ascii="Helvetica" w:hAnsi="Helvetica" w:cs="Helvetica"/>
          <w:color w:val="auto"/>
          <w:sz w:val="22"/>
          <w:szCs w:val="22"/>
          <w:lang w:eastAsia="en-GB"/>
        </w:rPr>
        <w:t xml:space="preserve">at this stage </w:t>
      </w:r>
      <w:r>
        <w:rPr>
          <w:rFonts w:ascii="Helvetica" w:hAnsi="Helvetica" w:cs="Helvetica"/>
          <w:color w:val="auto"/>
          <w:sz w:val="22"/>
          <w:szCs w:val="22"/>
          <w:lang w:eastAsia="en-GB"/>
        </w:rPr>
        <w:t xml:space="preserve">of the complaint process, </w:t>
      </w:r>
      <w:r w:rsidR="008E39C2" w:rsidRPr="00E14993">
        <w:rPr>
          <w:rFonts w:ascii="Helvetica" w:hAnsi="Helvetica" w:cs="Helvetica"/>
          <w:color w:val="auto"/>
          <w:sz w:val="22"/>
          <w:szCs w:val="22"/>
          <w:lang w:eastAsia="en-GB"/>
        </w:rPr>
        <w:t>may have prevented the n</w:t>
      </w:r>
      <w:r>
        <w:rPr>
          <w:rFonts w:ascii="Helvetica" w:hAnsi="Helvetica" w:cs="Helvetica"/>
          <w:color w:val="auto"/>
          <w:sz w:val="22"/>
          <w:szCs w:val="22"/>
          <w:lang w:eastAsia="en-GB"/>
        </w:rPr>
        <w:t>ew allegations being overlooked and would invite PSD to consider this as a recommendation.</w:t>
      </w:r>
    </w:p>
    <w:p w14:paraId="7F8A31F1" w14:textId="07BC89DE" w:rsidR="00BD798F" w:rsidRPr="00BD798F" w:rsidRDefault="00BD798F" w:rsidP="00A22CAE">
      <w:pPr>
        <w:autoSpaceDE w:val="0"/>
        <w:autoSpaceDN w:val="0"/>
        <w:adjustRightInd w:val="0"/>
        <w:spacing w:after="0" w:line="240" w:lineRule="auto"/>
        <w:rPr>
          <w:rFonts w:ascii="HelveticaNeueLT Std" w:hAnsi="HelveticaNeueLT Std" w:cs="HelveticaNeueLT Std"/>
          <w:color w:val="343531"/>
          <w:sz w:val="23"/>
          <w:szCs w:val="23"/>
          <w:lang w:eastAsia="en-GB"/>
        </w:rPr>
      </w:pPr>
    </w:p>
    <w:p w14:paraId="6AD922BB" w14:textId="7D4D8B28" w:rsidR="0061762B" w:rsidRPr="0061762B" w:rsidRDefault="00891B8F" w:rsidP="000A3BFA">
      <w:pPr>
        <w:autoSpaceDE w:val="0"/>
        <w:autoSpaceDN w:val="0"/>
        <w:adjustRightInd w:val="0"/>
        <w:spacing w:after="0" w:line="240" w:lineRule="auto"/>
        <w:rPr>
          <w:rFonts w:ascii="Helvetica" w:hAnsi="Helvetica" w:cs="Helvetica"/>
          <w:u w:val="single"/>
        </w:rPr>
      </w:pPr>
      <w:r>
        <w:rPr>
          <w:rFonts w:ascii="Helvetica" w:hAnsi="Helvetica" w:cs="Helvetica"/>
          <w:u w:val="single"/>
        </w:rPr>
        <w:t xml:space="preserve">Case 3 </w:t>
      </w:r>
    </w:p>
    <w:p w14:paraId="109F72D9" w14:textId="77777777" w:rsidR="0061762B" w:rsidRDefault="0061762B" w:rsidP="000A3BFA">
      <w:pPr>
        <w:autoSpaceDE w:val="0"/>
        <w:autoSpaceDN w:val="0"/>
        <w:adjustRightInd w:val="0"/>
        <w:spacing w:after="0" w:line="240" w:lineRule="auto"/>
        <w:rPr>
          <w:rFonts w:ascii="Helvetica" w:hAnsi="Helvetica" w:cs="Helvetica"/>
        </w:rPr>
      </w:pPr>
    </w:p>
    <w:p w14:paraId="55E53083" w14:textId="41D8A8D1" w:rsidR="0061762B" w:rsidRDefault="00C17443" w:rsidP="000A3BFA">
      <w:pPr>
        <w:autoSpaceDE w:val="0"/>
        <w:autoSpaceDN w:val="0"/>
        <w:adjustRightInd w:val="0"/>
        <w:spacing w:after="0" w:line="240" w:lineRule="auto"/>
        <w:rPr>
          <w:rFonts w:ascii="Helvetica" w:hAnsi="Helvetica" w:cs="Helvetica"/>
          <w:lang w:eastAsia="en-GB"/>
        </w:rPr>
      </w:pPr>
      <w:r w:rsidRPr="0061762B">
        <w:rPr>
          <w:rFonts w:ascii="Helvetica" w:hAnsi="Helvetica" w:cs="Helvetica"/>
        </w:rPr>
        <w:t xml:space="preserve">Having </w:t>
      </w:r>
      <w:r w:rsidR="0061762B" w:rsidRPr="0061762B">
        <w:rPr>
          <w:rFonts w:ascii="Helvetica" w:hAnsi="Helvetica" w:cs="Helvetica"/>
        </w:rPr>
        <w:t>considered</w:t>
      </w:r>
      <w:r w:rsidRPr="0061762B">
        <w:rPr>
          <w:rFonts w:ascii="Helvetica" w:hAnsi="Helvetica" w:cs="Helvetica"/>
        </w:rPr>
        <w:t xml:space="preserve"> </w:t>
      </w:r>
      <w:r w:rsidR="00891B8F">
        <w:rPr>
          <w:rFonts w:ascii="Helvetica" w:hAnsi="Helvetica" w:cs="Helvetica"/>
          <w:lang w:eastAsia="en-GB"/>
        </w:rPr>
        <w:t>Case 3</w:t>
      </w:r>
      <w:r w:rsidR="0061762B" w:rsidRPr="0061762B">
        <w:rPr>
          <w:rFonts w:ascii="Helvetica" w:hAnsi="Helvetica" w:cs="Helvetica"/>
          <w:lang w:eastAsia="en-GB"/>
        </w:rPr>
        <w:t>, the O</w:t>
      </w:r>
      <w:r w:rsidR="0061762B">
        <w:rPr>
          <w:rFonts w:ascii="Helvetica" w:hAnsi="Helvetica" w:cs="Helvetica"/>
          <w:lang w:eastAsia="en-GB"/>
        </w:rPr>
        <w:t xml:space="preserve">PCC noted that </w:t>
      </w:r>
      <w:r w:rsidR="00615359">
        <w:rPr>
          <w:rFonts w:ascii="Helvetica" w:hAnsi="Helvetica" w:cs="Helvetica"/>
          <w:lang w:eastAsia="en-GB"/>
        </w:rPr>
        <w:t xml:space="preserve">initially </w:t>
      </w:r>
      <w:r w:rsidR="0061762B">
        <w:rPr>
          <w:rFonts w:ascii="Helvetica" w:hAnsi="Helvetica" w:cs="Helvetica"/>
          <w:lang w:eastAsia="en-GB"/>
        </w:rPr>
        <w:t xml:space="preserve">a dissatisfaction </w:t>
      </w:r>
      <w:r w:rsidR="00E17F33" w:rsidRPr="0061762B">
        <w:rPr>
          <w:rFonts w:ascii="Helvetica" w:hAnsi="Helvetica" w:cs="Helvetica"/>
          <w:lang w:eastAsia="en-GB"/>
        </w:rPr>
        <w:t xml:space="preserve">was handled efficiently and resolved in a timely manner by the </w:t>
      </w:r>
      <w:r w:rsidR="0061762B">
        <w:rPr>
          <w:rFonts w:ascii="Helvetica" w:hAnsi="Helvetica" w:cs="Helvetica"/>
          <w:lang w:eastAsia="en-GB"/>
        </w:rPr>
        <w:t xml:space="preserve">relevant </w:t>
      </w:r>
      <w:r w:rsidR="00E17F33" w:rsidRPr="0061762B">
        <w:rPr>
          <w:rFonts w:ascii="Helvetica" w:hAnsi="Helvetica" w:cs="Helvetica"/>
          <w:lang w:eastAsia="en-GB"/>
        </w:rPr>
        <w:t>Inspector</w:t>
      </w:r>
      <w:r w:rsidR="0061762B">
        <w:rPr>
          <w:rFonts w:ascii="Helvetica" w:hAnsi="Helvetica" w:cs="Helvetica"/>
          <w:lang w:eastAsia="en-GB"/>
        </w:rPr>
        <w:t xml:space="preserve"> out on Division; however the complainant subsequently contacted the Force Contact Centre to report that they remained dissatisfied with the outcome of the Inspector’s actions and the Contact Centre contacted PSD to request a call back to this complainant.</w:t>
      </w:r>
    </w:p>
    <w:p w14:paraId="54DF8BF5" w14:textId="77777777" w:rsidR="0061762B" w:rsidRDefault="0061762B" w:rsidP="000A3BFA">
      <w:pPr>
        <w:autoSpaceDE w:val="0"/>
        <w:autoSpaceDN w:val="0"/>
        <w:adjustRightInd w:val="0"/>
        <w:spacing w:after="0" w:line="240" w:lineRule="auto"/>
        <w:rPr>
          <w:rFonts w:ascii="Helvetica" w:hAnsi="Helvetica" w:cs="Helvetica"/>
          <w:lang w:eastAsia="en-GB"/>
        </w:rPr>
      </w:pPr>
    </w:p>
    <w:p w14:paraId="3FFEFD0B" w14:textId="53908CC8" w:rsidR="00885674" w:rsidRDefault="0061762B" w:rsidP="000A3BFA">
      <w:pPr>
        <w:autoSpaceDE w:val="0"/>
        <w:autoSpaceDN w:val="0"/>
        <w:adjustRightInd w:val="0"/>
        <w:spacing w:after="0" w:line="240" w:lineRule="auto"/>
        <w:rPr>
          <w:rFonts w:ascii="Helvetica" w:hAnsi="Helvetica" w:cs="Helvetica"/>
          <w:lang w:eastAsia="en-GB"/>
        </w:rPr>
      </w:pPr>
      <w:r w:rsidRPr="0061762B">
        <w:rPr>
          <w:rFonts w:ascii="Helvetica" w:hAnsi="Helvetica" w:cs="Helvetica"/>
          <w:lang w:eastAsia="en-GB"/>
        </w:rPr>
        <w:t xml:space="preserve">However, </w:t>
      </w:r>
      <w:r w:rsidR="00615359">
        <w:rPr>
          <w:rFonts w:ascii="Helvetica" w:hAnsi="Helvetica" w:cs="Helvetica"/>
          <w:lang w:eastAsia="en-GB"/>
        </w:rPr>
        <w:t xml:space="preserve">the OPCC noted that </w:t>
      </w:r>
      <w:r w:rsidR="00C17443" w:rsidRPr="0061762B">
        <w:rPr>
          <w:rFonts w:ascii="Helvetica" w:hAnsi="Helvetica" w:cs="Helvetica"/>
          <w:lang w:eastAsia="en-GB"/>
        </w:rPr>
        <w:t xml:space="preserve">there </w:t>
      </w:r>
      <w:r w:rsidR="0019204C">
        <w:rPr>
          <w:rFonts w:ascii="Helvetica" w:hAnsi="Helvetica" w:cs="Helvetica"/>
          <w:lang w:eastAsia="en-GB"/>
        </w:rPr>
        <w:t xml:space="preserve">was no documentation to evidence the complaint raised with PSD i.e. evidence of the complainants initial contact with PSD, which was due to the </w:t>
      </w:r>
      <w:r w:rsidR="008E39C2" w:rsidRPr="0061762B">
        <w:rPr>
          <w:rFonts w:ascii="Helvetica" w:hAnsi="Helvetica" w:cs="Helvetica"/>
          <w:lang w:eastAsia="en-GB"/>
        </w:rPr>
        <w:t>complaint bein</w:t>
      </w:r>
      <w:r w:rsidR="0019204C">
        <w:rPr>
          <w:rFonts w:ascii="Helvetica" w:hAnsi="Helvetica" w:cs="Helvetica"/>
          <w:lang w:eastAsia="en-GB"/>
        </w:rPr>
        <w:t>g made over the phone. I</w:t>
      </w:r>
      <w:r w:rsidR="008E39C2" w:rsidRPr="0061762B">
        <w:rPr>
          <w:rFonts w:ascii="Helvetica" w:hAnsi="Helvetica" w:cs="Helvetica"/>
          <w:lang w:eastAsia="en-GB"/>
        </w:rPr>
        <w:t>t was</w:t>
      </w:r>
      <w:r w:rsidR="00A361A8" w:rsidRPr="0061762B">
        <w:rPr>
          <w:rFonts w:ascii="Helvetica" w:hAnsi="Helvetica" w:cs="Helvetica"/>
          <w:lang w:eastAsia="en-GB"/>
        </w:rPr>
        <w:t xml:space="preserve"> noted that </w:t>
      </w:r>
      <w:r w:rsidR="0019204C">
        <w:rPr>
          <w:rFonts w:ascii="Helvetica" w:hAnsi="Helvetica" w:cs="Helvetica"/>
          <w:lang w:eastAsia="en-GB"/>
        </w:rPr>
        <w:t>PSD</w:t>
      </w:r>
      <w:r w:rsidR="008E39C2" w:rsidRPr="0061762B">
        <w:rPr>
          <w:rFonts w:ascii="Helvetica" w:hAnsi="Helvetica" w:cs="Helvetica"/>
          <w:lang w:eastAsia="en-GB"/>
        </w:rPr>
        <w:t xml:space="preserve"> had</w:t>
      </w:r>
      <w:r w:rsidR="00A361A8" w:rsidRPr="0061762B">
        <w:rPr>
          <w:rFonts w:ascii="Helvetica" w:hAnsi="Helvetica" w:cs="Helvetica"/>
          <w:lang w:eastAsia="en-GB"/>
        </w:rPr>
        <w:t xml:space="preserve"> contacted the complainant by phone and sent an </w:t>
      </w:r>
      <w:r w:rsidR="0019204C">
        <w:rPr>
          <w:rFonts w:ascii="Helvetica" w:hAnsi="Helvetica" w:cs="Helvetica"/>
          <w:lang w:eastAsia="en-GB"/>
        </w:rPr>
        <w:t>email to confirm the phone call; however the OPCC would suggest that a</w:t>
      </w:r>
      <w:r w:rsidR="00A361A8" w:rsidRPr="0061762B">
        <w:rPr>
          <w:rFonts w:ascii="Helvetica" w:hAnsi="Helvetica" w:cs="Helvetica"/>
          <w:lang w:eastAsia="en-GB"/>
        </w:rPr>
        <w:t>t this stage</w:t>
      </w:r>
      <w:r w:rsidR="0019204C">
        <w:rPr>
          <w:rFonts w:ascii="Helvetica" w:hAnsi="Helvetica" w:cs="Helvetica"/>
          <w:lang w:eastAsia="en-GB"/>
        </w:rPr>
        <w:t>,</w:t>
      </w:r>
      <w:r w:rsidR="00A22CAE">
        <w:rPr>
          <w:rFonts w:ascii="Helvetica" w:hAnsi="Helvetica" w:cs="Helvetica"/>
          <w:lang w:eastAsia="en-GB"/>
        </w:rPr>
        <w:t xml:space="preserve"> PSD could consider including</w:t>
      </w:r>
      <w:r w:rsidR="00A361A8" w:rsidRPr="0061762B">
        <w:rPr>
          <w:rFonts w:ascii="Helvetica" w:hAnsi="Helvetica" w:cs="Helvetica"/>
          <w:lang w:eastAsia="en-GB"/>
        </w:rPr>
        <w:t xml:space="preserve"> a summary of</w:t>
      </w:r>
      <w:r w:rsidR="008E39C2" w:rsidRPr="0061762B">
        <w:rPr>
          <w:rFonts w:ascii="Helvetica" w:hAnsi="Helvetica" w:cs="Helvetica"/>
          <w:lang w:eastAsia="en-GB"/>
        </w:rPr>
        <w:t xml:space="preserve"> the complaint to </w:t>
      </w:r>
      <w:r w:rsidR="00A22CAE">
        <w:rPr>
          <w:rFonts w:ascii="Helvetica" w:hAnsi="Helvetica" w:cs="Helvetica"/>
          <w:lang w:eastAsia="en-GB"/>
        </w:rPr>
        <w:t>the complainant, as the complaint was taken over the phone, to confirm understanding.</w:t>
      </w:r>
      <w:r w:rsidR="00A361A8" w:rsidRPr="0061762B">
        <w:rPr>
          <w:rFonts w:ascii="Helvetica" w:hAnsi="Helvetica" w:cs="Helvetica"/>
          <w:lang w:eastAsia="en-GB"/>
        </w:rPr>
        <w:t xml:space="preserve"> </w:t>
      </w:r>
    </w:p>
    <w:p w14:paraId="6B75B144" w14:textId="10E0A7DA" w:rsidR="00A22CAE" w:rsidRDefault="00A22CAE" w:rsidP="000A3BFA">
      <w:pPr>
        <w:autoSpaceDE w:val="0"/>
        <w:autoSpaceDN w:val="0"/>
        <w:adjustRightInd w:val="0"/>
        <w:spacing w:after="0" w:line="240" w:lineRule="auto"/>
        <w:rPr>
          <w:rFonts w:ascii="Helvetica" w:hAnsi="Helvetica" w:cs="Helvetica"/>
          <w:lang w:eastAsia="en-GB"/>
        </w:rPr>
      </w:pPr>
    </w:p>
    <w:p w14:paraId="748128FB" w14:textId="2373682D" w:rsidR="00A22CAE" w:rsidRPr="00A22CAE" w:rsidRDefault="00891B8F" w:rsidP="000A3BFA">
      <w:pPr>
        <w:autoSpaceDE w:val="0"/>
        <w:autoSpaceDN w:val="0"/>
        <w:adjustRightInd w:val="0"/>
        <w:spacing w:after="0" w:line="240" w:lineRule="auto"/>
        <w:rPr>
          <w:rFonts w:ascii="Helvetica" w:hAnsi="Helvetica" w:cs="Helvetica"/>
          <w:u w:val="single"/>
          <w:lang w:eastAsia="en-GB"/>
        </w:rPr>
      </w:pPr>
      <w:r>
        <w:rPr>
          <w:rFonts w:ascii="Helvetica" w:hAnsi="Helvetica" w:cs="Helvetica"/>
          <w:u w:val="single"/>
          <w:lang w:eastAsia="en-GB"/>
        </w:rPr>
        <w:t xml:space="preserve">Case 4 </w:t>
      </w:r>
    </w:p>
    <w:p w14:paraId="5BDF9162" w14:textId="5D08734E" w:rsidR="00885674" w:rsidRPr="00A22CAE" w:rsidRDefault="002433DA" w:rsidP="000A3BFA">
      <w:pPr>
        <w:autoSpaceDE w:val="0"/>
        <w:autoSpaceDN w:val="0"/>
        <w:adjustRightInd w:val="0"/>
        <w:spacing w:after="0" w:line="240" w:lineRule="auto"/>
        <w:rPr>
          <w:rFonts w:ascii="Helvetica" w:hAnsi="Helvetica" w:cs="Helvetica"/>
          <w:lang w:eastAsia="en-GB"/>
        </w:rPr>
      </w:pPr>
      <w:r w:rsidRPr="00A22CAE">
        <w:rPr>
          <w:rFonts w:ascii="Helvetica" w:hAnsi="Helvetica" w:cs="Helvetica"/>
          <w:lang w:eastAsia="en-GB"/>
        </w:rPr>
        <w:t xml:space="preserve">  </w:t>
      </w:r>
    </w:p>
    <w:p w14:paraId="44325825" w14:textId="354B88B0" w:rsidR="00885EDE" w:rsidRDefault="00A22CAE" w:rsidP="000A3BFA">
      <w:pPr>
        <w:autoSpaceDE w:val="0"/>
        <w:autoSpaceDN w:val="0"/>
        <w:adjustRightInd w:val="0"/>
        <w:spacing w:after="0" w:line="240" w:lineRule="auto"/>
        <w:rPr>
          <w:rFonts w:ascii="Helvetica" w:hAnsi="Helvetica" w:cs="Helvetica"/>
          <w:lang w:eastAsia="en-GB"/>
        </w:rPr>
      </w:pPr>
      <w:r>
        <w:rPr>
          <w:rFonts w:ascii="Helvetica" w:hAnsi="Helvetica" w:cs="Helvetica"/>
          <w:lang w:eastAsia="en-GB"/>
        </w:rPr>
        <w:lastRenderedPageBreak/>
        <w:t>This complaint case demonstrated</w:t>
      </w:r>
      <w:r w:rsidR="00885EDE" w:rsidRPr="00A22CAE">
        <w:rPr>
          <w:rFonts w:ascii="Helvetica" w:hAnsi="Helvetica" w:cs="Helvetica"/>
          <w:lang w:eastAsia="en-GB"/>
        </w:rPr>
        <w:t xml:space="preserve"> a good level of communication </w:t>
      </w:r>
      <w:r>
        <w:rPr>
          <w:rFonts w:ascii="Helvetica" w:hAnsi="Helvetica" w:cs="Helvetica"/>
          <w:lang w:eastAsia="en-GB"/>
        </w:rPr>
        <w:t xml:space="preserve">between PSD and the Force. The documentation provided by PSD to the OPCC evidenced that </w:t>
      </w:r>
      <w:r w:rsidR="00E17F33" w:rsidRPr="00A22CAE">
        <w:rPr>
          <w:rFonts w:ascii="Helvetica" w:hAnsi="Helvetica" w:cs="Helvetica"/>
          <w:lang w:eastAsia="en-GB"/>
        </w:rPr>
        <w:t xml:space="preserve">PSD had taken into consideration all of the information available to them, </w:t>
      </w:r>
      <w:r>
        <w:rPr>
          <w:rFonts w:ascii="Helvetica" w:hAnsi="Helvetica" w:cs="Helvetica"/>
          <w:lang w:eastAsia="en-GB"/>
        </w:rPr>
        <w:t>including Force information, to ensure that any response provided by PSD considered the safety of all individual(s) involved.</w:t>
      </w:r>
    </w:p>
    <w:p w14:paraId="2DC79411" w14:textId="62650D4C" w:rsidR="00A22CAE" w:rsidRDefault="00A22CAE" w:rsidP="000A3BFA">
      <w:pPr>
        <w:autoSpaceDE w:val="0"/>
        <w:autoSpaceDN w:val="0"/>
        <w:adjustRightInd w:val="0"/>
        <w:spacing w:after="0" w:line="240" w:lineRule="auto"/>
        <w:rPr>
          <w:rFonts w:ascii="Helvetica" w:hAnsi="Helvetica" w:cs="Helvetica"/>
          <w:lang w:eastAsia="en-GB"/>
        </w:rPr>
      </w:pPr>
    </w:p>
    <w:p w14:paraId="59BC1159" w14:textId="685041C8" w:rsidR="00A22CAE" w:rsidRPr="00A22CAE" w:rsidRDefault="00891B8F" w:rsidP="000A3BFA">
      <w:pPr>
        <w:autoSpaceDE w:val="0"/>
        <w:autoSpaceDN w:val="0"/>
        <w:adjustRightInd w:val="0"/>
        <w:spacing w:after="0" w:line="240" w:lineRule="auto"/>
        <w:rPr>
          <w:rFonts w:ascii="Helvetica" w:hAnsi="Helvetica" w:cs="Helvetica"/>
          <w:u w:val="single"/>
          <w:lang w:eastAsia="en-GB"/>
        </w:rPr>
      </w:pPr>
      <w:r>
        <w:rPr>
          <w:rFonts w:ascii="Helvetica" w:hAnsi="Helvetica" w:cs="Helvetica"/>
          <w:u w:val="single"/>
          <w:lang w:eastAsia="en-GB"/>
        </w:rPr>
        <w:t xml:space="preserve">Case 5 </w:t>
      </w:r>
    </w:p>
    <w:p w14:paraId="793A87A3" w14:textId="77777777" w:rsidR="00A22CAE" w:rsidRPr="00A22CAE" w:rsidRDefault="00A22CAE" w:rsidP="000A3BFA">
      <w:pPr>
        <w:autoSpaceDE w:val="0"/>
        <w:autoSpaceDN w:val="0"/>
        <w:adjustRightInd w:val="0"/>
        <w:spacing w:after="0" w:line="240" w:lineRule="auto"/>
        <w:rPr>
          <w:rFonts w:ascii="Helvetica" w:hAnsi="Helvetica" w:cs="Helvetica"/>
          <w:lang w:eastAsia="en-GB"/>
        </w:rPr>
      </w:pPr>
    </w:p>
    <w:p w14:paraId="3C710C57" w14:textId="0DDC1414" w:rsidR="00885674" w:rsidRPr="00A22CAE" w:rsidRDefault="00A22CAE" w:rsidP="000A3BFA">
      <w:pPr>
        <w:autoSpaceDE w:val="0"/>
        <w:autoSpaceDN w:val="0"/>
        <w:adjustRightInd w:val="0"/>
        <w:spacing w:after="0" w:line="240" w:lineRule="auto"/>
        <w:rPr>
          <w:rFonts w:ascii="Helvetica" w:hAnsi="Helvetica" w:cs="Helvetica"/>
          <w:lang w:eastAsia="en-GB"/>
        </w:rPr>
      </w:pPr>
      <w:r>
        <w:rPr>
          <w:rFonts w:ascii="Helvetica" w:hAnsi="Helvetica" w:cs="Helvetica"/>
          <w:lang w:eastAsia="en-GB"/>
        </w:rPr>
        <w:t xml:space="preserve">Having considered the documentation provided to the OPCC, it is evidenced that PSD made </w:t>
      </w:r>
      <w:r w:rsidR="00E17F33" w:rsidRPr="00A22CAE">
        <w:rPr>
          <w:rFonts w:ascii="Helvetica" w:hAnsi="Helvetica" w:cs="Helvetica"/>
          <w:lang w:eastAsia="en-GB"/>
        </w:rPr>
        <w:t xml:space="preserve">clear attempts </w:t>
      </w:r>
      <w:r>
        <w:rPr>
          <w:rFonts w:ascii="Helvetica" w:hAnsi="Helvetica" w:cs="Helvetica"/>
          <w:lang w:eastAsia="en-GB"/>
        </w:rPr>
        <w:t>t</w:t>
      </w:r>
      <w:r w:rsidR="00E17F33" w:rsidRPr="00A22CAE">
        <w:rPr>
          <w:rFonts w:ascii="Helvetica" w:hAnsi="Helvetica" w:cs="Helvetica"/>
          <w:lang w:eastAsia="en-GB"/>
        </w:rPr>
        <w:t>o contact the complainant</w:t>
      </w:r>
      <w:r>
        <w:rPr>
          <w:rFonts w:ascii="Helvetica" w:hAnsi="Helvetica" w:cs="Helvetica"/>
          <w:lang w:eastAsia="en-GB"/>
        </w:rPr>
        <w:t xml:space="preserve">, in order to </w:t>
      </w:r>
      <w:r w:rsidR="00E17F33" w:rsidRPr="00A22CAE">
        <w:rPr>
          <w:rFonts w:ascii="Helvetica" w:hAnsi="Helvetica" w:cs="Helvetica"/>
          <w:lang w:eastAsia="en-GB"/>
        </w:rPr>
        <w:t xml:space="preserve">gain </w:t>
      </w:r>
      <w:r>
        <w:rPr>
          <w:rFonts w:ascii="Helvetica" w:hAnsi="Helvetica" w:cs="Helvetica"/>
          <w:lang w:eastAsia="en-GB"/>
        </w:rPr>
        <w:t xml:space="preserve">a </w:t>
      </w:r>
      <w:r w:rsidR="00E17F33" w:rsidRPr="00A22CAE">
        <w:rPr>
          <w:rFonts w:ascii="Helvetica" w:hAnsi="Helvetica" w:cs="Helvetica"/>
          <w:lang w:eastAsia="en-GB"/>
        </w:rPr>
        <w:t>further understan</w:t>
      </w:r>
      <w:r>
        <w:rPr>
          <w:rFonts w:ascii="Helvetica" w:hAnsi="Helvetica" w:cs="Helvetica"/>
          <w:lang w:eastAsia="en-GB"/>
        </w:rPr>
        <w:t xml:space="preserve">ding of the complaint. Documentation evidences </w:t>
      </w:r>
      <w:r w:rsidR="00E17F33" w:rsidRPr="00A22CAE">
        <w:rPr>
          <w:rFonts w:ascii="Helvetica" w:hAnsi="Helvetica" w:cs="Helvetica"/>
          <w:lang w:eastAsia="en-GB"/>
        </w:rPr>
        <w:t xml:space="preserve">that due to no response </w:t>
      </w:r>
      <w:r>
        <w:rPr>
          <w:rFonts w:ascii="Helvetica" w:hAnsi="Helvetica" w:cs="Helvetica"/>
          <w:lang w:eastAsia="en-GB"/>
        </w:rPr>
        <w:t xml:space="preserve">received by PSD </w:t>
      </w:r>
      <w:r w:rsidR="00E17F33" w:rsidRPr="00A22CAE">
        <w:rPr>
          <w:rFonts w:ascii="Helvetica" w:hAnsi="Helvetica" w:cs="Helvetica"/>
          <w:lang w:eastAsia="en-GB"/>
        </w:rPr>
        <w:t>from the complainant</w:t>
      </w:r>
      <w:r>
        <w:rPr>
          <w:rFonts w:ascii="Helvetica" w:hAnsi="Helvetica" w:cs="Helvetica"/>
          <w:lang w:eastAsia="en-GB"/>
        </w:rPr>
        <w:t>,</w:t>
      </w:r>
      <w:r w:rsidR="00E17F33" w:rsidRPr="00A22CAE">
        <w:rPr>
          <w:rFonts w:ascii="Helvetica" w:hAnsi="Helvetica" w:cs="Helvetica"/>
          <w:lang w:eastAsia="en-GB"/>
        </w:rPr>
        <w:t xml:space="preserve"> no further action could be taken.</w:t>
      </w:r>
      <w:r w:rsidR="00885EDE" w:rsidRPr="00A22CAE">
        <w:rPr>
          <w:rFonts w:ascii="Helvetica" w:hAnsi="Helvetica" w:cs="Helvetica"/>
          <w:lang w:eastAsia="en-GB"/>
        </w:rPr>
        <w:t xml:space="preserve"> An outcome letter </w:t>
      </w:r>
      <w:r>
        <w:rPr>
          <w:rFonts w:ascii="Helvetica" w:hAnsi="Helvetica" w:cs="Helvetica"/>
          <w:lang w:eastAsia="en-GB"/>
        </w:rPr>
        <w:t xml:space="preserve">with a clear rationale </w:t>
      </w:r>
      <w:r w:rsidR="00885EDE" w:rsidRPr="00A22CAE">
        <w:rPr>
          <w:rFonts w:ascii="Helvetica" w:hAnsi="Helvetica" w:cs="Helvetica"/>
          <w:lang w:eastAsia="en-GB"/>
        </w:rPr>
        <w:t>was provided to the complainant</w:t>
      </w:r>
      <w:r>
        <w:rPr>
          <w:rFonts w:ascii="Helvetica" w:hAnsi="Helvetica" w:cs="Helvetica"/>
          <w:lang w:eastAsia="en-GB"/>
        </w:rPr>
        <w:t>, informing the individual of</w:t>
      </w:r>
      <w:r w:rsidR="00885EDE" w:rsidRPr="00A22CAE">
        <w:rPr>
          <w:rFonts w:ascii="Helvetica" w:hAnsi="Helvetica" w:cs="Helvetica"/>
          <w:lang w:eastAsia="en-GB"/>
        </w:rPr>
        <w:t xml:space="preserve"> the reason for no further action.</w:t>
      </w:r>
    </w:p>
    <w:p w14:paraId="6CB88EDD" w14:textId="64AB5524" w:rsidR="00A22CAE" w:rsidRPr="00A12C3F" w:rsidRDefault="00A22CAE" w:rsidP="00A22CAE">
      <w:pPr>
        <w:pStyle w:val="Heading2"/>
        <w:spacing w:after="240"/>
        <w:rPr>
          <w:rFonts w:ascii="Helvetica" w:hAnsi="Helvetica" w:cs="Helvetica"/>
        </w:rPr>
      </w:pPr>
      <w:r w:rsidRPr="00A12C3F">
        <w:rPr>
          <w:rFonts w:ascii="Helvetica" w:hAnsi="Helvetica" w:cs="Helvetica"/>
        </w:rPr>
        <w:t>3</w:t>
      </w:r>
      <w:r>
        <w:rPr>
          <w:rFonts w:ascii="Helvetica" w:hAnsi="Helvetica" w:cs="Helvetica"/>
        </w:rPr>
        <w:t>.2</w:t>
      </w:r>
      <w:r w:rsidRPr="00A12C3F">
        <w:rPr>
          <w:rFonts w:ascii="Helvetica" w:hAnsi="Helvetica" w:cs="Helvetica"/>
        </w:rPr>
        <w:t xml:space="preserve"> </w:t>
      </w:r>
      <w:r>
        <w:rPr>
          <w:rFonts w:ascii="Helvetica" w:hAnsi="Helvetica" w:cs="Helvetica"/>
        </w:rPr>
        <w:t>PSD Outcome Letter &amp; Rationale for NFA</w:t>
      </w:r>
    </w:p>
    <w:p w14:paraId="7F4D99F6" w14:textId="77777777" w:rsidR="00A22CAE" w:rsidRPr="00A12C3F" w:rsidRDefault="00A22CAE" w:rsidP="00A22CAE">
      <w:pPr>
        <w:pStyle w:val="NoSpacing"/>
        <w:rPr>
          <w:rFonts w:ascii="Helvetica" w:hAnsi="Helvetica" w:cs="Helvetica"/>
          <w:u w:val="single"/>
        </w:rPr>
      </w:pPr>
      <w:r>
        <w:rPr>
          <w:rFonts w:ascii="Helvetica" w:hAnsi="Helvetica" w:cs="Helvetica"/>
          <w:u w:val="single"/>
        </w:rPr>
        <w:t>No Further Action</w:t>
      </w:r>
    </w:p>
    <w:p w14:paraId="5F185EF0" w14:textId="77777777" w:rsidR="00A22CAE" w:rsidRPr="00A12C3F" w:rsidRDefault="00A22CAE" w:rsidP="00A22CAE">
      <w:pPr>
        <w:pStyle w:val="NoSpacing"/>
        <w:rPr>
          <w:rFonts w:ascii="Helvetica" w:hAnsi="Helvetica" w:cs="Helvetica"/>
        </w:rPr>
      </w:pPr>
    </w:p>
    <w:p w14:paraId="44FEFEAB" w14:textId="77777777" w:rsidR="00A22CAE" w:rsidRDefault="00A22CAE" w:rsidP="00A22CAE">
      <w:pPr>
        <w:pStyle w:val="NoSpacing"/>
        <w:rPr>
          <w:rFonts w:ascii="Helvetica" w:hAnsi="Helvetica" w:cs="Helvetica"/>
        </w:rPr>
      </w:pPr>
      <w:r w:rsidRPr="00A12C3F">
        <w:rPr>
          <w:rFonts w:ascii="Helvetica" w:hAnsi="Helvetica" w:cs="Helvetica"/>
        </w:rPr>
        <w:t xml:space="preserve">In terms of </w:t>
      </w:r>
      <w:r>
        <w:rPr>
          <w:rFonts w:ascii="Helvetica" w:hAnsi="Helvetica" w:cs="Helvetica"/>
        </w:rPr>
        <w:t>deciding whether it is reasonable and proportionate to take no further action,</w:t>
      </w:r>
      <w:r w:rsidRPr="00A12C3F">
        <w:rPr>
          <w:rFonts w:ascii="Helvetica" w:hAnsi="Helvetica" w:cs="Helvetica"/>
        </w:rPr>
        <w:t xml:space="preserve"> </w:t>
      </w:r>
      <w:r>
        <w:rPr>
          <w:rFonts w:ascii="Helvetica" w:hAnsi="Helvetica" w:cs="Helvetica"/>
        </w:rPr>
        <w:t xml:space="preserve">the </w:t>
      </w:r>
      <w:r w:rsidRPr="00A12C3F">
        <w:rPr>
          <w:rFonts w:ascii="Helvetica" w:hAnsi="Helvetica" w:cs="Helvetica"/>
        </w:rPr>
        <w:t>Independent Office for Police Conduct (IOPC)</w:t>
      </w:r>
      <w:r>
        <w:rPr>
          <w:rFonts w:ascii="Helvetica" w:hAnsi="Helvetica" w:cs="Helvetica"/>
        </w:rPr>
        <w:t xml:space="preserve"> Statutory Guidance 2020</w:t>
      </w:r>
      <w:r w:rsidRPr="00A12C3F">
        <w:rPr>
          <w:rFonts w:ascii="Helvetica" w:hAnsi="Helvetica" w:cs="Helvetica"/>
        </w:rPr>
        <w:t xml:space="preserve"> states:</w:t>
      </w:r>
    </w:p>
    <w:p w14:paraId="057CCC07" w14:textId="77777777" w:rsidR="00A22CAE" w:rsidRDefault="00A22CAE" w:rsidP="00A22CAE">
      <w:pPr>
        <w:pStyle w:val="NoSpacing"/>
        <w:rPr>
          <w:rFonts w:ascii="Helvetica" w:hAnsi="Helvetica" w:cs="Helvetica"/>
        </w:rPr>
      </w:pPr>
    </w:p>
    <w:p w14:paraId="1FABDD38" w14:textId="77777777" w:rsidR="00A22CAE" w:rsidRPr="009731E5" w:rsidRDefault="00A22CAE" w:rsidP="00A22CAE">
      <w:pPr>
        <w:pStyle w:val="NoSpacing"/>
        <w:rPr>
          <w:rFonts w:ascii="Helvetica" w:hAnsi="Helvetica" w:cs="Helvetica"/>
          <w:i/>
        </w:rPr>
      </w:pPr>
      <w:r w:rsidRPr="009731E5">
        <w:rPr>
          <w:rFonts w:ascii="Helvetica" w:hAnsi="Helvetica" w:cs="Helvetica"/>
          <w:i/>
        </w:rPr>
        <w:t>“12.13 Where it is decided that no further action can be taken as part of the reasonable and proportionate handling of a complaint, a detailed rationale for this should be provided to the complainant (in line with the duties around communicating the outcome of a complaint, and the right to apply for a review set out in paragraphs 17.67 – 17.74).”</w:t>
      </w:r>
    </w:p>
    <w:p w14:paraId="1F527B6C" w14:textId="77777777" w:rsidR="00A22CAE" w:rsidRDefault="00A22CAE" w:rsidP="00A22CAE">
      <w:pPr>
        <w:autoSpaceDE w:val="0"/>
        <w:autoSpaceDN w:val="0"/>
        <w:adjustRightInd w:val="0"/>
        <w:spacing w:after="0" w:line="240" w:lineRule="auto"/>
        <w:rPr>
          <w:rFonts w:ascii="HelveticaNeueLT Std" w:hAnsi="HelveticaNeueLT Std" w:cs="HelveticaNeueLT Std"/>
          <w:i/>
          <w:color w:val="343531"/>
          <w:sz w:val="23"/>
          <w:szCs w:val="23"/>
          <w:lang w:eastAsia="en-GB"/>
        </w:rPr>
      </w:pPr>
    </w:p>
    <w:p w14:paraId="3A559C0D" w14:textId="77777777" w:rsidR="00A22CAE" w:rsidRDefault="00A22CAE" w:rsidP="00A22CAE">
      <w:pPr>
        <w:pStyle w:val="NoSpacing"/>
        <w:rPr>
          <w:rFonts w:ascii="Helvetica" w:hAnsi="Helvetica" w:cs="Helvetica"/>
        </w:rPr>
      </w:pPr>
      <w:r>
        <w:rPr>
          <w:rFonts w:ascii="Helvetica" w:hAnsi="Helvetica" w:cs="Helvetica"/>
        </w:rPr>
        <w:t xml:space="preserve">Having considered all 5 cases, the OPCC are satisfied that a clear rationale was provided by </w:t>
      </w:r>
      <w:r w:rsidRPr="00DB1874">
        <w:rPr>
          <w:rFonts w:ascii="Helvetica" w:hAnsi="Helvetica" w:cs="Helvetica"/>
        </w:rPr>
        <w:t>PSD within their outcome letter to the complainant. It was noted that for one of the five cases considered, no further action could be taken as PSD were unable to contact the individual for further information. PSD still provided an outcome letter to the complainant to explain this rationale, which demonstrates clear communication from PSD with complainants.</w:t>
      </w:r>
    </w:p>
    <w:p w14:paraId="015072F2" w14:textId="77777777" w:rsidR="00A22CAE" w:rsidRDefault="00A22CAE" w:rsidP="00A22CAE">
      <w:pPr>
        <w:pStyle w:val="NoSpacing"/>
        <w:rPr>
          <w:rFonts w:ascii="Helvetica" w:hAnsi="Helvetica" w:cs="Helvetica"/>
        </w:rPr>
      </w:pPr>
    </w:p>
    <w:p w14:paraId="065667B0" w14:textId="77777777" w:rsidR="00A22CAE" w:rsidRPr="00DB1874" w:rsidRDefault="00A22CAE" w:rsidP="00A22CAE">
      <w:pPr>
        <w:pStyle w:val="NoSpacing"/>
        <w:rPr>
          <w:rFonts w:ascii="HelveticaNeueLT Std" w:hAnsi="HelveticaNeueLT Std" w:cs="HelveticaNeueLT Std"/>
          <w:i/>
          <w:sz w:val="23"/>
          <w:szCs w:val="23"/>
          <w:lang w:eastAsia="en-GB"/>
        </w:rPr>
      </w:pPr>
      <w:r>
        <w:rPr>
          <w:rFonts w:ascii="Helvetica" w:hAnsi="Helvetica" w:cs="Helvetica"/>
        </w:rPr>
        <w:t>Within the IOPC Statutory Guidance 2020, it states:</w:t>
      </w:r>
    </w:p>
    <w:p w14:paraId="3BD48023" w14:textId="77777777" w:rsidR="00A22CAE" w:rsidRPr="00DB1874" w:rsidRDefault="00A22CAE" w:rsidP="00A22CAE">
      <w:pPr>
        <w:autoSpaceDE w:val="0"/>
        <w:autoSpaceDN w:val="0"/>
        <w:adjustRightInd w:val="0"/>
        <w:spacing w:after="0" w:line="240" w:lineRule="auto"/>
        <w:rPr>
          <w:rFonts w:ascii="HelveticaNeueLT Std" w:hAnsi="HelveticaNeueLT Std" w:cs="HelveticaNeueLT Std"/>
          <w:sz w:val="24"/>
          <w:szCs w:val="24"/>
          <w:lang w:eastAsia="en-GB"/>
        </w:rPr>
      </w:pPr>
    </w:p>
    <w:p w14:paraId="6244A2B3" w14:textId="77777777" w:rsidR="00A22CAE" w:rsidRDefault="00A22CAE" w:rsidP="00A22CAE">
      <w:pPr>
        <w:pStyle w:val="Default"/>
        <w:rPr>
          <w:rFonts w:ascii="HelveticaNeueLT Std" w:hAnsi="HelveticaNeueLT Std" w:cs="HelveticaNeueLT Std"/>
          <w:i/>
          <w:sz w:val="23"/>
          <w:szCs w:val="23"/>
          <w:lang w:eastAsia="en-GB"/>
        </w:rPr>
      </w:pPr>
      <w:r w:rsidRPr="00DB1874">
        <w:rPr>
          <w:rFonts w:ascii="HelveticaNeueLT Std" w:hAnsi="HelveticaNeueLT Std" w:cs="HelveticaNeueLT Std"/>
          <w:bCs/>
          <w:i/>
          <w:sz w:val="23"/>
          <w:szCs w:val="23"/>
          <w:lang w:eastAsia="en-GB"/>
        </w:rPr>
        <w:t>“</w:t>
      </w:r>
      <w:r w:rsidRPr="00DB1874">
        <w:rPr>
          <w:rFonts w:ascii="HelveticaNeueLT Std" w:hAnsi="HelveticaNeueLT Std" w:cs="HelveticaNeueLT Std"/>
          <w:bCs/>
          <w:i/>
          <w:color w:val="auto"/>
          <w:sz w:val="23"/>
          <w:szCs w:val="23"/>
          <w:lang w:eastAsia="en-GB"/>
        </w:rPr>
        <w:t>17.70</w:t>
      </w:r>
      <w:r w:rsidRPr="00DB1874">
        <w:rPr>
          <w:rFonts w:ascii="HelveticaNeueLT Std" w:hAnsi="HelveticaNeueLT Std" w:cs="HelveticaNeueLT Std"/>
          <w:b/>
          <w:bCs/>
          <w:i/>
          <w:color w:val="auto"/>
          <w:sz w:val="23"/>
          <w:szCs w:val="23"/>
          <w:lang w:eastAsia="en-GB"/>
        </w:rPr>
        <w:t xml:space="preserve"> </w:t>
      </w:r>
      <w:r w:rsidRPr="00DB1874">
        <w:rPr>
          <w:rFonts w:ascii="HelveticaNeueLT Std" w:hAnsi="HelveticaNeueLT Std" w:cs="HelveticaNeueLT Std"/>
          <w:i/>
          <w:sz w:val="23"/>
          <w:szCs w:val="23"/>
          <w:lang w:eastAsia="en-GB"/>
        </w:rPr>
        <w:t>In addition to providing the information in writing, it may also be appropriate to communicate this by other channels that may better meet any additional individual needs, i.e. to ensure that the complainant or interested person fully understands the decisions that have been made.”</w:t>
      </w:r>
    </w:p>
    <w:p w14:paraId="7E22A1C3" w14:textId="77777777" w:rsidR="00A22CAE" w:rsidRDefault="00A22CAE" w:rsidP="00A22CAE">
      <w:pPr>
        <w:pStyle w:val="Default"/>
        <w:rPr>
          <w:rFonts w:ascii="HelveticaNeueLT Std" w:hAnsi="HelveticaNeueLT Std" w:cs="HelveticaNeueLT Std"/>
          <w:i/>
          <w:sz w:val="23"/>
          <w:szCs w:val="23"/>
          <w:lang w:eastAsia="en-GB"/>
        </w:rPr>
      </w:pPr>
    </w:p>
    <w:p w14:paraId="11A4B5E5" w14:textId="77777777" w:rsidR="00A22CAE" w:rsidRDefault="00A22CAE" w:rsidP="00A22CAE">
      <w:pPr>
        <w:pStyle w:val="Default"/>
        <w:rPr>
          <w:rFonts w:ascii="Helvetica" w:hAnsi="Helvetica" w:cs="Helvetica"/>
          <w:sz w:val="22"/>
          <w:szCs w:val="22"/>
        </w:rPr>
      </w:pPr>
      <w:r>
        <w:rPr>
          <w:rFonts w:ascii="Helvetica" w:hAnsi="Helvetica" w:cs="Helvetica"/>
          <w:sz w:val="22"/>
          <w:szCs w:val="22"/>
        </w:rPr>
        <w:t xml:space="preserve">In all </w:t>
      </w:r>
      <w:r w:rsidRPr="00DB1874">
        <w:rPr>
          <w:rFonts w:ascii="Helvetica" w:hAnsi="Helvetica" w:cs="Helvetica"/>
          <w:sz w:val="22"/>
          <w:szCs w:val="22"/>
        </w:rPr>
        <w:t>5 cases</w:t>
      </w:r>
      <w:r>
        <w:rPr>
          <w:rFonts w:ascii="Helvetica" w:hAnsi="Helvetica" w:cs="Helvetica"/>
          <w:sz w:val="22"/>
          <w:szCs w:val="22"/>
        </w:rPr>
        <w:t>, the OPCC observed that PSD</w:t>
      </w:r>
      <w:r w:rsidRPr="00DB1874">
        <w:rPr>
          <w:rFonts w:ascii="Helvetica" w:hAnsi="Helvetica" w:cs="Helvetica"/>
          <w:sz w:val="22"/>
          <w:szCs w:val="22"/>
        </w:rPr>
        <w:t xml:space="preserve"> </w:t>
      </w:r>
      <w:r>
        <w:rPr>
          <w:rFonts w:ascii="Helvetica" w:hAnsi="Helvetica" w:cs="Helvetica"/>
          <w:sz w:val="22"/>
          <w:szCs w:val="22"/>
        </w:rPr>
        <w:t>demonstrated</w:t>
      </w:r>
      <w:r w:rsidRPr="00DB1874">
        <w:rPr>
          <w:rFonts w:ascii="Helvetica" w:hAnsi="Helvetica" w:cs="Helvetica"/>
          <w:sz w:val="22"/>
          <w:szCs w:val="22"/>
        </w:rPr>
        <w:t xml:space="preserve"> evidence of why no further action </w:t>
      </w:r>
      <w:r>
        <w:rPr>
          <w:rFonts w:ascii="Helvetica" w:hAnsi="Helvetica" w:cs="Helvetica"/>
          <w:sz w:val="22"/>
          <w:szCs w:val="22"/>
        </w:rPr>
        <w:t>would be taken in relation to the recorded complaint and the reasons identified fell within one of the below categories, as outlined in the IOPC Statutory Guidance 2020:</w:t>
      </w:r>
    </w:p>
    <w:p w14:paraId="76E2D600" w14:textId="77777777" w:rsidR="00A22CAE" w:rsidRDefault="00A22CAE" w:rsidP="00A22CAE">
      <w:pPr>
        <w:pStyle w:val="Default"/>
        <w:rPr>
          <w:rFonts w:ascii="Helvetica" w:hAnsi="Helvetica" w:cs="Helvetica"/>
          <w:sz w:val="22"/>
          <w:szCs w:val="22"/>
        </w:rPr>
      </w:pPr>
    </w:p>
    <w:p w14:paraId="7738A699" w14:textId="77777777" w:rsidR="00A22CAE" w:rsidRPr="00D72C2F" w:rsidRDefault="00A22CAE" w:rsidP="00A22CAE">
      <w:pPr>
        <w:pStyle w:val="Default"/>
        <w:rPr>
          <w:rFonts w:ascii="Helvetica" w:hAnsi="Helvetica" w:cs="Helvetica"/>
          <w:i/>
          <w:sz w:val="22"/>
          <w:szCs w:val="22"/>
          <w:lang w:eastAsia="en-GB"/>
        </w:rPr>
      </w:pPr>
      <w:r w:rsidRPr="00D72C2F">
        <w:rPr>
          <w:rFonts w:ascii="Helvetica" w:hAnsi="Helvetica" w:cs="Helvetica"/>
          <w:i/>
          <w:sz w:val="22"/>
          <w:szCs w:val="22"/>
        </w:rPr>
        <w:t>“</w:t>
      </w:r>
      <w:r w:rsidRPr="00D72C2F">
        <w:rPr>
          <w:rFonts w:ascii="Helvetica" w:hAnsi="Helvetica" w:cs="Helvetica"/>
          <w:bCs/>
          <w:i/>
          <w:sz w:val="22"/>
          <w:szCs w:val="22"/>
          <w:lang w:eastAsia="en-GB"/>
        </w:rPr>
        <w:t>12.10</w:t>
      </w:r>
      <w:r w:rsidRPr="00D72C2F">
        <w:rPr>
          <w:rFonts w:ascii="Helvetica" w:hAnsi="Helvetica" w:cs="Helvetica"/>
          <w:b/>
          <w:bCs/>
          <w:i/>
          <w:sz w:val="22"/>
          <w:szCs w:val="22"/>
          <w:lang w:eastAsia="en-GB"/>
        </w:rPr>
        <w:t xml:space="preserve"> </w:t>
      </w:r>
      <w:r w:rsidRPr="00D72C2F">
        <w:rPr>
          <w:rFonts w:ascii="Helvetica" w:hAnsi="Helvetica" w:cs="Helvetica"/>
          <w:i/>
          <w:sz w:val="22"/>
          <w:szCs w:val="22"/>
          <w:lang w:eastAsia="en-GB"/>
        </w:rPr>
        <w:t xml:space="preserve">Complaint handlers should seek to resolve a complainant’s concerns wherever possible and reasonable and proportionate to do so – even if it is only reasonable and proportionate to take limited steps (see paragraph 10.13). However, in some circumstances, it may not be reasonable and proportionate to take further action with a complaint after recording it. Circumstances where it may not be reasonable to take action with a complaint include (but are not limited to): </w:t>
      </w:r>
    </w:p>
    <w:p w14:paraId="535C2B4D" w14:textId="77777777" w:rsidR="00A22CAE" w:rsidRPr="00D72C2F" w:rsidRDefault="00A22CAE" w:rsidP="00A22CAE">
      <w:pPr>
        <w:pStyle w:val="Default"/>
        <w:rPr>
          <w:rFonts w:ascii="Helvetica" w:hAnsi="Helvetica" w:cs="Helvetica"/>
          <w:i/>
          <w:sz w:val="22"/>
          <w:szCs w:val="22"/>
          <w:lang w:eastAsia="en-GB"/>
        </w:rPr>
      </w:pPr>
    </w:p>
    <w:p w14:paraId="11F5FC39" w14:textId="77777777" w:rsidR="00A22CAE" w:rsidRPr="00D72C2F" w:rsidRDefault="00A22CAE" w:rsidP="00A22CAE">
      <w:pPr>
        <w:pStyle w:val="Default"/>
        <w:numPr>
          <w:ilvl w:val="0"/>
          <w:numId w:val="33"/>
        </w:numPr>
        <w:rPr>
          <w:rFonts w:ascii="Helvetica" w:hAnsi="Helvetica" w:cs="Helvetica"/>
          <w:i/>
          <w:sz w:val="22"/>
          <w:szCs w:val="22"/>
          <w:lang w:eastAsia="en-GB"/>
        </w:rPr>
      </w:pPr>
      <w:r w:rsidRPr="00D72C2F">
        <w:rPr>
          <w:rFonts w:ascii="Helvetica" w:hAnsi="Helvetica" w:cs="Helvetica"/>
          <w:i/>
          <w:sz w:val="22"/>
          <w:szCs w:val="22"/>
          <w:lang w:eastAsia="en-GB"/>
        </w:rPr>
        <w:lastRenderedPageBreak/>
        <w:t xml:space="preserve">A complaint that is about the off-duty behaviour of a person serving with the police, which has no relevance to their role as a person serving with the police and, even if proved, would not discredit the police service or undermine public confidence in it. </w:t>
      </w:r>
    </w:p>
    <w:p w14:paraId="24D9C29E" w14:textId="77777777" w:rsidR="00A22CAE" w:rsidRPr="00D72C2F" w:rsidRDefault="00A22CAE" w:rsidP="00A22CAE">
      <w:pPr>
        <w:pStyle w:val="ListParagraph"/>
        <w:numPr>
          <w:ilvl w:val="0"/>
          <w:numId w:val="33"/>
        </w:numPr>
        <w:autoSpaceDE w:val="0"/>
        <w:autoSpaceDN w:val="0"/>
        <w:adjustRightInd w:val="0"/>
        <w:spacing w:after="0" w:line="240" w:lineRule="auto"/>
        <w:rPr>
          <w:rFonts w:ascii="Helvetica" w:hAnsi="Helvetica" w:cs="Helvetica"/>
          <w:i/>
          <w:color w:val="000000"/>
          <w:lang w:eastAsia="en-GB"/>
        </w:rPr>
      </w:pPr>
      <w:r w:rsidRPr="00D72C2F">
        <w:rPr>
          <w:rFonts w:ascii="Helvetica" w:hAnsi="Helvetica" w:cs="Helvetica"/>
          <w:i/>
          <w:color w:val="000000"/>
          <w:lang w:eastAsia="en-GB"/>
        </w:rPr>
        <w:t xml:space="preserve">If the complaint is fanciful – this means that it is patently of a nature that no reasonable person could lend any credence to it. It is important to consider the complaint itself, rather than the alleged incident giving rise to the complaint. </w:t>
      </w:r>
    </w:p>
    <w:p w14:paraId="510BEBCF" w14:textId="77777777" w:rsidR="00A22CAE" w:rsidRPr="00D72C2F" w:rsidRDefault="00A22CAE" w:rsidP="00A22CAE">
      <w:pPr>
        <w:pStyle w:val="ListParagraph"/>
        <w:numPr>
          <w:ilvl w:val="0"/>
          <w:numId w:val="33"/>
        </w:numPr>
        <w:autoSpaceDE w:val="0"/>
        <w:autoSpaceDN w:val="0"/>
        <w:adjustRightInd w:val="0"/>
        <w:spacing w:after="0" w:line="240" w:lineRule="auto"/>
        <w:rPr>
          <w:rFonts w:ascii="Helvetica" w:hAnsi="Helvetica" w:cs="Helvetica"/>
          <w:i/>
          <w:color w:val="000000"/>
          <w:lang w:eastAsia="en-GB"/>
        </w:rPr>
      </w:pPr>
      <w:r w:rsidRPr="00D72C2F">
        <w:rPr>
          <w:rFonts w:ascii="Helvetica" w:hAnsi="Helvetica" w:cs="Helvetica"/>
          <w:i/>
          <w:color w:val="000000"/>
          <w:lang w:eastAsia="en-GB"/>
        </w:rPr>
        <w:t xml:space="preserve">If the complaint would be better handled by another process, for example, a complaint to the Information Commissioner’s Office. </w:t>
      </w:r>
    </w:p>
    <w:p w14:paraId="71E6C3D1" w14:textId="7DA9B52A" w:rsidR="00574A1D" w:rsidRPr="007D67CD" w:rsidRDefault="00A22CAE" w:rsidP="00574A1D">
      <w:pPr>
        <w:pStyle w:val="ListParagraph"/>
        <w:numPr>
          <w:ilvl w:val="0"/>
          <w:numId w:val="33"/>
        </w:numPr>
        <w:autoSpaceDE w:val="0"/>
        <w:autoSpaceDN w:val="0"/>
        <w:adjustRightInd w:val="0"/>
        <w:spacing w:after="0" w:line="240" w:lineRule="auto"/>
        <w:rPr>
          <w:rFonts w:ascii="Helvetica" w:hAnsi="Helvetica" w:cs="Helvetica"/>
          <w:i/>
          <w:color w:val="000000"/>
          <w:lang w:eastAsia="en-GB"/>
        </w:rPr>
      </w:pPr>
      <w:r w:rsidRPr="00D72C2F">
        <w:rPr>
          <w:rFonts w:ascii="Helvetica" w:hAnsi="Helvetica" w:cs="Helvetica"/>
          <w:i/>
          <w:color w:val="000000"/>
          <w:lang w:eastAsia="en-GB"/>
        </w:rPr>
        <w:t>If the complaint contains too little information to be able to progress any enquiries, and attempts to clarify it with the complainant have been unsuccessful.”</w:t>
      </w:r>
    </w:p>
    <w:p w14:paraId="30ECDC98" w14:textId="750A3293" w:rsidR="007F6C6F" w:rsidRPr="00A12C3F" w:rsidRDefault="007F6C6F" w:rsidP="007F6C6F">
      <w:pPr>
        <w:pStyle w:val="Heading2"/>
        <w:spacing w:after="240"/>
        <w:rPr>
          <w:rFonts w:ascii="Helvetica" w:hAnsi="Helvetica" w:cs="Helvetica"/>
        </w:rPr>
      </w:pPr>
      <w:r>
        <w:rPr>
          <w:rFonts w:ascii="Helvetica" w:hAnsi="Helvetica" w:cs="Helvetica"/>
        </w:rPr>
        <w:t xml:space="preserve">4.0 </w:t>
      </w:r>
      <w:r w:rsidRPr="00A12C3F">
        <w:rPr>
          <w:rFonts w:ascii="Helvetica" w:hAnsi="Helvetica" w:cs="Helvetica"/>
        </w:rPr>
        <w:t>Conclusions and Recommendations</w:t>
      </w:r>
    </w:p>
    <w:p w14:paraId="09D77443" w14:textId="10FF48C1" w:rsidR="007F6C6F" w:rsidRDefault="007F6C6F" w:rsidP="007F6C6F">
      <w:pPr>
        <w:pStyle w:val="NoSpacing"/>
        <w:rPr>
          <w:rFonts w:ascii="Helvetica" w:hAnsi="Helvetica" w:cs="Helvetica"/>
          <w:u w:val="single"/>
        </w:rPr>
      </w:pPr>
      <w:r w:rsidRPr="00885EDE">
        <w:rPr>
          <w:rFonts w:ascii="Helvetica" w:hAnsi="Helvetica" w:cs="Helvetica"/>
          <w:u w:val="single"/>
        </w:rPr>
        <w:t>Conclusions</w:t>
      </w:r>
    </w:p>
    <w:p w14:paraId="3764E1AC" w14:textId="77777777" w:rsidR="007F6C6F" w:rsidRPr="00885EDE" w:rsidRDefault="007F6C6F" w:rsidP="007F6C6F">
      <w:pPr>
        <w:pStyle w:val="NoSpacing"/>
        <w:rPr>
          <w:rFonts w:ascii="Helvetica" w:hAnsi="Helvetica" w:cs="Helvetica"/>
          <w:u w:val="single"/>
        </w:rPr>
      </w:pPr>
    </w:p>
    <w:p w14:paraId="4CF83E22" w14:textId="77777777" w:rsidR="007F6C6F" w:rsidRPr="007F6C6F" w:rsidRDefault="007F6C6F" w:rsidP="007F6C6F">
      <w:pPr>
        <w:pStyle w:val="NoSpacing"/>
        <w:numPr>
          <w:ilvl w:val="0"/>
          <w:numId w:val="27"/>
        </w:numPr>
        <w:rPr>
          <w:rFonts w:ascii="Helvetica" w:hAnsi="Helvetica" w:cs="Helvetica"/>
          <w:u w:val="single"/>
        </w:rPr>
      </w:pPr>
      <w:r w:rsidRPr="00885EDE">
        <w:rPr>
          <w:rFonts w:ascii="Helvetica" w:hAnsi="Helvetica" w:cs="Helvetica"/>
        </w:rPr>
        <w:t xml:space="preserve">Having reviewed all 5 </w:t>
      </w:r>
      <w:r>
        <w:rPr>
          <w:rFonts w:ascii="Helvetica" w:hAnsi="Helvetica" w:cs="Helvetica"/>
        </w:rPr>
        <w:t xml:space="preserve">closed complaint </w:t>
      </w:r>
      <w:r w:rsidRPr="00885EDE">
        <w:rPr>
          <w:rFonts w:ascii="Helvetica" w:hAnsi="Helvetica" w:cs="Helvetica"/>
        </w:rPr>
        <w:t>cases</w:t>
      </w:r>
      <w:r>
        <w:rPr>
          <w:rFonts w:ascii="Helvetica" w:hAnsi="Helvetica" w:cs="Helvetica"/>
        </w:rPr>
        <w:t>,</w:t>
      </w:r>
      <w:r w:rsidRPr="00885EDE">
        <w:rPr>
          <w:rFonts w:ascii="Helvetica" w:hAnsi="Helvetica" w:cs="Helvetica"/>
        </w:rPr>
        <w:t xml:space="preserve"> the OPCC are satisfied that </w:t>
      </w:r>
      <w:r>
        <w:rPr>
          <w:rFonts w:ascii="Helvetica" w:hAnsi="Helvetica" w:cs="Helvetica"/>
        </w:rPr>
        <w:t xml:space="preserve">4 out 5 complaint </w:t>
      </w:r>
      <w:r w:rsidRPr="00885EDE">
        <w:rPr>
          <w:rFonts w:ascii="Helvetica" w:hAnsi="Helvetica" w:cs="Helvetica"/>
        </w:rPr>
        <w:t>cases were clearly understood by PSD</w:t>
      </w:r>
      <w:r>
        <w:rPr>
          <w:rFonts w:ascii="Helvetica" w:hAnsi="Helvetica" w:cs="Helvetica"/>
        </w:rPr>
        <w:t>.</w:t>
      </w:r>
    </w:p>
    <w:p w14:paraId="2993D4EE" w14:textId="4D4B391E" w:rsidR="007F6C6F" w:rsidRPr="00885EDE" w:rsidRDefault="007F6C6F" w:rsidP="007F6C6F">
      <w:pPr>
        <w:pStyle w:val="NoSpacing"/>
        <w:numPr>
          <w:ilvl w:val="0"/>
          <w:numId w:val="27"/>
        </w:numPr>
        <w:rPr>
          <w:rFonts w:ascii="Helvetica" w:hAnsi="Helvetica" w:cs="Helvetica"/>
          <w:u w:val="single"/>
        </w:rPr>
      </w:pPr>
      <w:r>
        <w:rPr>
          <w:rFonts w:ascii="Helvetica" w:hAnsi="Helvetica" w:cs="Helvetica"/>
        </w:rPr>
        <w:t>The OPCC are satisfied that for all 5 closed complaint cases, a detailed rationale was included within the outcome letter provided by PSD, to explain their decision to take No Further Action</w:t>
      </w:r>
      <w:r w:rsidRPr="00885EDE">
        <w:rPr>
          <w:rFonts w:ascii="Helvetica" w:hAnsi="Helvetica" w:cs="Helvetica"/>
        </w:rPr>
        <w:t xml:space="preserve"> </w:t>
      </w:r>
      <w:r>
        <w:rPr>
          <w:rFonts w:ascii="Helvetica" w:hAnsi="Helvetica" w:cs="Helvetica"/>
        </w:rPr>
        <w:t xml:space="preserve">(NFA) </w:t>
      </w:r>
      <w:r w:rsidRPr="00885EDE">
        <w:rPr>
          <w:rFonts w:ascii="Helvetica" w:hAnsi="Helvetica" w:cs="Helvetica"/>
        </w:rPr>
        <w:t>to the complainant.</w:t>
      </w:r>
      <w:r>
        <w:rPr>
          <w:rFonts w:ascii="Helvetica" w:hAnsi="Helvetica" w:cs="Helvetica"/>
        </w:rPr>
        <w:t xml:space="preserve"> All of the outcome letters were clear in the communication to the complainant.</w:t>
      </w:r>
    </w:p>
    <w:p w14:paraId="275C76D8" w14:textId="5CC0F3F9" w:rsidR="007F6C6F" w:rsidRPr="00885EDE" w:rsidRDefault="007F6C6F" w:rsidP="007F6C6F">
      <w:pPr>
        <w:pStyle w:val="NoSpacing"/>
        <w:numPr>
          <w:ilvl w:val="0"/>
          <w:numId w:val="27"/>
        </w:numPr>
        <w:rPr>
          <w:rFonts w:ascii="Helvetica" w:hAnsi="Helvetica" w:cs="Helvetica"/>
          <w:u w:val="single"/>
        </w:rPr>
      </w:pPr>
      <w:r w:rsidRPr="00885EDE">
        <w:rPr>
          <w:rFonts w:ascii="Helvetica" w:hAnsi="Helvetica" w:cs="Helvetica"/>
        </w:rPr>
        <w:t xml:space="preserve">All 5 </w:t>
      </w:r>
      <w:r>
        <w:rPr>
          <w:rFonts w:ascii="Helvetica" w:hAnsi="Helvetica" w:cs="Helvetica"/>
        </w:rPr>
        <w:t xml:space="preserve">closed complaint </w:t>
      </w:r>
      <w:r w:rsidRPr="00885EDE">
        <w:rPr>
          <w:rFonts w:ascii="Helvetica" w:hAnsi="Helvetica" w:cs="Helvetica"/>
        </w:rPr>
        <w:t xml:space="preserve">cases </w:t>
      </w:r>
      <w:r>
        <w:rPr>
          <w:rFonts w:ascii="Helvetica" w:hAnsi="Helvetica" w:cs="Helvetica"/>
        </w:rPr>
        <w:t xml:space="preserve">provided </w:t>
      </w:r>
      <w:r w:rsidRPr="00885EDE">
        <w:rPr>
          <w:rFonts w:ascii="Helvetica" w:hAnsi="Helvetica" w:cs="Helvetica"/>
        </w:rPr>
        <w:t>update</w:t>
      </w:r>
      <w:r>
        <w:rPr>
          <w:rFonts w:ascii="Helvetica" w:hAnsi="Helvetica" w:cs="Helvetica"/>
        </w:rPr>
        <w:t>(s)</w:t>
      </w:r>
      <w:r w:rsidRPr="00885EDE">
        <w:rPr>
          <w:rFonts w:ascii="Helvetica" w:hAnsi="Helvetica" w:cs="Helvetica"/>
        </w:rPr>
        <w:t>/responses in a ti</w:t>
      </w:r>
      <w:r>
        <w:rPr>
          <w:rFonts w:ascii="Helvetica" w:hAnsi="Helvetica" w:cs="Helvetica"/>
        </w:rPr>
        <w:t>mely manner and within the time</w:t>
      </w:r>
      <w:r w:rsidRPr="00885EDE">
        <w:rPr>
          <w:rFonts w:ascii="Helvetica" w:hAnsi="Helvetica" w:cs="Helvetica"/>
        </w:rPr>
        <w:t>frame recommended.</w:t>
      </w:r>
    </w:p>
    <w:p w14:paraId="4D8B2A10" w14:textId="77777777" w:rsidR="007F6C6F" w:rsidRDefault="007F6C6F" w:rsidP="007F6C6F">
      <w:pPr>
        <w:pStyle w:val="ListParagraph"/>
        <w:numPr>
          <w:ilvl w:val="0"/>
          <w:numId w:val="27"/>
        </w:numPr>
        <w:rPr>
          <w:rFonts w:ascii="Helvetica" w:hAnsi="Helvetica" w:cs="Helvetica"/>
        </w:rPr>
      </w:pPr>
      <w:r>
        <w:rPr>
          <w:rFonts w:ascii="Helvetica" w:hAnsi="Helvetica" w:cs="Helvetica"/>
        </w:rPr>
        <w:t>For the one closed complaint case which required f</w:t>
      </w:r>
      <w:r w:rsidRPr="00885EDE">
        <w:rPr>
          <w:rFonts w:ascii="Helvetica" w:hAnsi="Helvetica" w:cs="Helvetica"/>
        </w:rPr>
        <w:t xml:space="preserve">urther information from </w:t>
      </w:r>
      <w:r>
        <w:rPr>
          <w:rFonts w:ascii="Helvetica" w:hAnsi="Helvetica" w:cs="Helvetica"/>
        </w:rPr>
        <w:t xml:space="preserve">the complainant, </w:t>
      </w:r>
      <w:r w:rsidRPr="00885EDE">
        <w:rPr>
          <w:rFonts w:ascii="Helvetica" w:hAnsi="Helvetica" w:cs="Helvetica"/>
        </w:rPr>
        <w:t xml:space="preserve">PSD </w:t>
      </w:r>
      <w:r>
        <w:rPr>
          <w:rFonts w:ascii="Helvetica" w:hAnsi="Helvetica" w:cs="Helvetica"/>
        </w:rPr>
        <w:t xml:space="preserve">clearly evidenced their </w:t>
      </w:r>
      <w:r w:rsidRPr="00885EDE">
        <w:rPr>
          <w:rFonts w:ascii="Helvetica" w:hAnsi="Helvetica" w:cs="Helvetica"/>
        </w:rPr>
        <w:t>attempts to contact the complainant.</w:t>
      </w:r>
    </w:p>
    <w:p w14:paraId="0FB8F557" w14:textId="77777777" w:rsidR="007F6C6F" w:rsidRDefault="007F6C6F" w:rsidP="007F6C6F">
      <w:pPr>
        <w:pStyle w:val="ListParagraph"/>
        <w:numPr>
          <w:ilvl w:val="0"/>
          <w:numId w:val="27"/>
        </w:numPr>
        <w:rPr>
          <w:rFonts w:ascii="Helvetica" w:hAnsi="Helvetica" w:cs="Helvetica"/>
        </w:rPr>
      </w:pPr>
      <w:r w:rsidRPr="007F6C6F">
        <w:rPr>
          <w:rFonts w:ascii="Helvetica" w:hAnsi="Helvetica" w:cs="Helvetica"/>
        </w:rPr>
        <w:t xml:space="preserve">The OPCC observed that PSD demonstrated good practice, in relation to their communication with the Force, taking into consideration all of the information available to them, in order to ensure </w:t>
      </w:r>
      <w:r w:rsidRPr="007F6C6F">
        <w:rPr>
          <w:rFonts w:ascii="Helvetica" w:hAnsi="Helvetica" w:cs="Helvetica"/>
          <w:lang w:eastAsia="en-GB"/>
        </w:rPr>
        <w:t>the safety of all individual(s) involved.</w:t>
      </w:r>
      <w:r>
        <w:rPr>
          <w:rFonts w:ascii="Helvetica" w:hAnsi="Helvetica" w:cs="Helvetica"/>
          <w:lang w:eastAsia="en-GB"/>
        </w:rPr>
        <w:t xml:space="preserve"> This demonstrates that PSD have an awareness of how their handling of complaints can impact on the work undertaken by the Force and the individuals that contact the Force.</w:t>
      </w:r>
    </w:p>
    <w:p w14:paraId="078424B6" w14:textId="2AD1B9A2" w:rsidR="00BD798F" w:rsidRPr="007F6C6F" w:rsidRDefault="00BD10D2" w:rsidP="007F6C6F">
      <w:pPr>
        <w:rPr>
          <w:rFonts w:ascii="Helvetica" w:hAnsi="Helvetica" w:cs="Helvetica"/>
        </w:rPr>
      </w:pPr>
      <w:r w:rsidRPr="007F6C6F">
        <w:rPr>
          <w:rFonts w:ascii="Helvetica" w:hAnsi="Helvetica" w:cs="Helvetica"/>
          <w:u w:val="single"/>
        </w:rPr>
        <w:t>Recommendations</w:t>
      </w:r>
    </w:p>
    <w:p w14:paraId="233A663A" w14:textId="644A2792" w:rsidR="00BD798F" w:rsidRPr="00885EDE" w:rsidRDefault="007F6C6F" w:rsidP="00BD798F">
      <w:pPr>
        <w:pStyle w:val="ListParagraph"/>
        <w:numPr>
          <w:ilvl w:val="0"/>
          <w:numId w:val="26"/>
        </w:numPr>
        <w:spacing w:after="0" w:line="240" w:lineRule="auto"/>
        <w:contextualSpacing w:val="0"/>
        <w:rPr>
          <w:rFonts w:ascii="Helvetica" w:hAnsi="Helvetica" w:cs="Helvetica"/>
        </w:rPr>
      </w:pPr>
      <w:r>
        <w:rPr>
          <w:rFonts w:ascii="Helvetica" w:hAnsi="Helvetica" w:cs="Helvetica"/>
        </w:rPr>
        <w:t xml:space="preserve">As outlined in Cases 2 &amp; 3, it is recommended that as part of </w:t>
      </w:r>
      <w:r w:rsidR="008337D6" w:rsidRPr="00885EDE">
        <w:rPr>
          <w:rFonts w:ascii="Helvetica" w:hAnsi="Helvetica" w:cs="Helvetica"/>
        </w:rPr>
        <w:t xml:space="preserve">initial </w:t>
      </w:r>
      <w:r w:rsidR="009F40AA" w:rsidRPr="00885EDE">
        <w:rPr>
          <w:rFonts w:ascii="Helvetica" w:hAnsi="Helvetica" w:cs="Helvetica"/>
        </w:rPr>
        <w:t>contact with the complainant</w:t>
      </w:r>
      <w:r>
        <w:rPr>
          <w:rFonts w:ascii="Helvetica" w:hAnsi="Helvetica" w:cs="Helvetica"/>
        </w:rPr>
        <w:t xml:space="preserve">, </w:t>
      </w:r>
      <w:r w:rsidR="008337D6" w:rsidRPr="00885EDE">
        <w:rPr>
          <w:rFonts w:ascii="Helvetica" w:hAnsi="Helvetica" w:cs="Helvetica"/>
        </w:rPr>
        <w:t xml:space="preserve">a summary </w:t>
      </w:r>
      <w:r>
        <w:rPr>
          <w:rFonts w:ascii="Helvetica" w:hAnsi="Helvetica" w:cs="Helvetica"/>
        </w:rPr>
        <w:t>of the</w:t>
      </w:r>
      <w:r w:rsidR="008337D6" w:rsidRPr="00885EDE">
        <w:rPr>
          <w:rFonts w:ascii="Helvetica" w:hAnsi="Helvetica" w:cs="Helvetica"/>
        </w:rPr>
        <w:t xml:space="preserve"> complaint is </w:t>
      </w:r>
      <w:r>
        <w:rPr>
          <w:rFonts w:ascii="Helvetica" w:hAnsi="Helvetica" w:cs="Helvetica"/>
        </w:rPr>
        <w:t xml:space="preserve">provided within the </w:t>
      </w:r>
      <w:r w:rsidR="008337D6" w:rsidRPr="00885EDE">
        <w:rPr>
          <w:rFonts w:ascii="Helvetica" w:hAnsi="Helvetica" w:cs="Helvetica"/>
        </w:rPr>
        <w:t>acknowledgement email</w:t>
      </w:r>
      <w:r>
        <w:rPr>
          <w:rFonts w:ascii="Helvetica" w:hAnsi="Helvetica" w:cs="Helvetica"/>
        </w:rPr>
        <w:t>/letter,</w:t>
      </w:r>
      <w:r w:rsidR="008337D6" w:rsidRPr="00885EDE">
        <w:rPr>
          <w:rFonts w:ascii="Helvetica" w:hAnsi="Helvetica" w:cs="Helvetica"/>
        </w:rPr>
        <w:t xml:space="preserve"> to </w:t>
      </w:r>
      <w:r>
        <w:rPr>
          <w:rFonts w:ascii="Helvetica" w:hAnsi="Helvetica" w:cs="Helvetica"/>
        </w:rPr>
        <w:t xml:space="preserve">ensure that both PSD and the complainant have a clear </w:t>
      </w:r>
      <w:r w:rsidR="003A4637">
        <w:rPr>
          <w:rFonts w:ascii="Helvetica" w:hAnsi="Helvetica" w:cs="Helvetica"/>
        </w:rPr>
        <w:t>audit trail of the understanding/summary of the recorded complaint.</w:t>
      </w:r>
      <w:r w:rsidR="008337D6" w:rsidRPr="00885EDE">
        <w:rPr>
          <w:rFonts w:ascii="Helvetica" w:hAnsi="Helvetica" w:cs="Helvetica"/>
        </w:rPr>
        <w:t xml:space="preserve"> </w:t>
      </w:r>
      <w:r w:rsidR="005F65D3">
        <w:rPr>
          <w:rFonts w:ascii="Helvetica" w:hAnsi="Helvetica" w:cs="Helvetica"/>
        </w:rPr>
        <w:t>The introduction of this recommendation into the initial process would</w:t>
      </w:r>
      <w:r w:rsidR="00885EDE">
        <w:rPr>
          <w:rFonts w:ascii="Helvetica" w:hAnsi="Helvetica" w:cs="Helvetica"/>
        </w:rPr>
        <w:t xml:space="preserve"> potentially </w:t>
      </w:r>
      <w:r w:rsidR="005F65D3">
        <w:rPr>
          <w:rFonts w:ascii="Helvetica" w:hAnsi="Helvetica" w:cs="Helvetica"/>
        </w:rPr>
        <w:t>remove</w:t>
      </w:r>
      <w:r w:rsidR="009F40AA" w:rsidRPr="00885EDE">
        <w:rPr>
          <w:rFonts w:ascii="Helvetica" w:hAnsi="Helvetica" w:cs="Helvetica"/>
        </w:rPr>
        <w:t xml:space="preserve"> </w:t>
      </w:r>
      <w:r w:rsidR="00D64549" w:rsidRPr="00885EDE">
        <w:rPr>
          <w:rFonts w:ascii="Helvetica" w:hAnsi="Helvetica" w:cs="Helvetica"/>
        </w:rPr>
        <w:t xml:space="preserve">any </w:t>
      </w:r>
      <w:r w:rsidR="005F65D3">
        <w:rPr>
          <w:rFonts w:ascii="Helvetica" w:hAnsi="Helvetica" w:cs="Helvetica"/>
        </w:rPr>
        <w:t xml:space="preserve">further </w:t>
      </w:r>
      <w:r w:rsidR="00D64549" w:rsidRPr="00885EDE">
        <w:rPr>
          <w:rFonts w:ascii="Helvetica" w:hAnsi="Helvetica" w:cs="Helvetica"/>
        </w:rPr>
        <w:t xml:space="preserve">complaints </w:t>
      </w:r>
      <w:r w:rsidR="005F65D3">
        <w:rPr>
          <w:rFonts w:ascii="Helvetica" w:hAnsi="Helvetica" w:cs="Helvetica"/>
        </w:rPr>
        <w:t>being raised by the complainant, as a result of part of their allegations being overlooked in the initial recording stage.</w:t>
      </w:r>
    </w:p>
    <w:p w14:paraId="7A14EC40" w14:textId="1318A18B" w:rsidR="00BD798F" w:rsidRPr="00A12C3F" w:rsidRDefault="00BD798F" w:rsidP="00BD798F">
      <w:pPr>
        <w:pStyle w:val="ListParagraph"/>
        <w:ind w:left="1440"/>
        <w:rPr>
          <w:rFonts w:ascii="Helvetica" w:hAnsi="Helvetica" w:cs="Helvetica"/>
          <w:u w:val="single"/>
        </w:rPr>
      </w:pPr>
    </w:p>
    <w:p w14:paraId="29DC2E5D" w14:textId="7FFC6336" w:rsidR="004903C4" w:rsidRPr="00A12C3F" w:rsidRDefault="00BD216C" w:rsidP="005F65D3">
      <w:pPr>
        <w:pStyle w:val="Heading2"/>
        <w:spacing w:after="240"/>
        <w:rPr>
          <w:rFonts w:ascii="Helvetica" w:hAnsi="Helvetica" w:cs="Helvetica"/>
        </w:rPr>
      </w:pPr>
      <w:r>
        <w:rPr>
          <w:rFonts w:ascii="Helvetica" w:hAnsi="Helvetica" w:cs="Helvetica"/>
        </w:rPr>
        <w:t>5.0</w:t>
      </w:r>
      <w:r w:rsidR="004903C4" w:rsidRPr="00A12C3F">
        <w:rPr>
          <w:rFonts w:ascii="Helvetica" w:hAnsi="Helvetica" w:cs="Helvetica"/>
        </w:rPr>
        <w:t xml:space="preserve"> Professional Standards Department Comments</w:t>
      </w:r>
    </w:p>
    <w:bookmarkEnd w:id="0"/>
    <w:p w14:paraId="23EBC6C6" w14:textId="6D1A3B87" w:rsidR="00337958" w:rsidRPr="004D4CB9" w:rsidRDefault="00337958" w:rsidP="00337958">
      <w:pPr>
        <w:pStyle w:val="NoSpacing"/>
        <w:jc w:val="both"/>
        <w:rPr>
          <w:rFonts w:ascii="Helvetica" w:hAnsi="Helvetica" w:cs="Helvetica"/>
          <w:color w:val="002060"/>
        </w:rPr>
      </w:pPr>
      <w:r w:rsidRPr="004D4CB9">
        <w:rPr>
          <w:rFonts w:ascii="Helvetica" w:hAnsi="Helvetica" w:cs="Helvetica"/>
          <w:color w:val="002060"/>
        </w:rPr>
        <w:t>The Professional Standards Department is committed to continuous improvement and is always looking for opportunities to improve its working practices,</w:t>
      </w:r>
    </w:p>
    <w:p w14:paraId="3403F86F" w14:textId="77777777" w:rsidR="00337958" w:rsidRPr="004D4CB9" w:rsidRDefault="00337958" w:rsidP="00337958">
      <w:pPr>
        <w:pStyle w:val="NoSpacing"/>
        <w:jc w:val="both"/>
        <w:rPr>
          <w:rFonts w:ascii="Helvetica" w:hAnsi="Helvetica" w:cs="Helvetica"/>
          <w:color w:val="002060"/>
        </w:rPr>
      </w:pPr>
    </w:p>
    <w:p w14:paraId="02178811" w14:textId="7EDDD457" w:rsidR="00146A94" w:rsidRPr="004D4CB9" w:rsidRDefault="00337958" w:rsidP="00337958">
      <w:pPr>
        <w:pStyle w:val="NoSpacing"/>
        <w:jc w:val="both"/>
        <w:rPr>
          <w:rFonts w:ascii="Helvetica" w:hAnsi="Helvetica" w:cs="Helvetica"/>
          <w:color w:val="002060"/>
        </w:rPr>
      </w:pPr>
      <w:r w:rsidRPr="004D4CB9">
        <w:rPr>
          <w:rFonts w:ascii="Helvetica" w:hAnsi="Helvetica" w:cs="Helvetica"/>
          <w:color w:val="002060"/>
        </w:rPr>
        <w:t xml:space="preserve">Therefore, the Department welcomes the scrutiny work of the OPCC in respect of complaint handling and, in line with the above, it is pleasing to see that the feedback from this dip sampling exercise is largely positive with only </w:t>
      </w:r>
      <w:r w:rsidR="004D4CB9">
        <w:rPr>
          <w:rFonts w:ascii="Helvetica" w:hAnsi="Helvetica" w:cs="Helvetica"/>
          <w:color w:val="002060"/>
        </w:rPr>
        <w:t xml:space="preserve">very </w:t>
      </w:r>
      <w:r w:rsidRPr="004D4CB9">
        <w:rPr>
          <w:rFonts w:ascii="Helvetica" w:hAnsi="Helvetica" w:cs="Helvetica"/>
          <w:color w:val="002060"/>
        </w:rPr>
        <w:t>min</w:t>
      </w:r>
      <w:r w:rsidR="004D4CB9">
        <w:rPr>
          <w:rFonts w:ascii="Helvetica" w:hAnsi="Helvetica" w:cs="Helvetica"/>
          <w:color w:val="002060"/>
        </w:rPr>
        <w:t>or issues being highlighted in two</w:t>
      </w:r>
      <w:r w:rsidRPr="004D4CB9">
        <w:rPr>
          <w:rFonts w:ascii="Helvetica" w:hAnsi="Helvetica" w:cs="Helvetica"/>
          <w:color w:val="002060"/>
        </w:rPr>
        <w:t xml:space="preserve"> of the cases and reflected in the aforementioned recommendation.</w:t>
      </w:r>
    </w:p>
    <w:p w14:paraId="66BB51A4" w14:textId="0B6C72C3" w:rsidR="00337958" w:rsidRPr="004D4CB9" w:rsidRDefault="00337958" w:rsidP="00337958">
      <w:pPr>
        <w:pStyle w:val="NoSpacing"/>
        <w:jc w:val="both"/>
        <w:rPr>
          <w:rFonts w:ascii="Helvetica" w:hAnsi="Helvetica" w:cs="Helvetica"/>
          <w:color w:val="002060"/>
        </w:rPr>
      </w:pPr>
    </w:p>
    <w:p w14:paraId="5A7B5378" w14:textId="3CCB9C99" w:rsidR="00337958" w:rsidRPr="004D4CB9" w:rsidRDefault="00337958" w:rsidP="00337958">
      <w:pPr>
        <w:pStyle w:val="NoSpacing"/>
        <w:jc w:val="both"/>
        <w:rPr>
          <w:rFonts w:ascii="Helvetica" w:hAnsi="Helvetica" w:cs="Helvetica"/>
          <w:color w:val="002060"/>
        </w:rPr>
      </w:pPr>
      <w:r w:rsidRPr="004D4CB9">
        <w:rPr>
          <w:rFonts w:ascii="Helvetica" w:hAnsi="Helvetica" w:cs="Helvetica"/>
          <w:color w:val="002060"/>
        </w:rPr>
        <w:lastRenderedPageBreak/>
        <w:t>It should be noted that this recommendation has previously been discussed in detail at the regular PSD / OPCC liaison meeting with the IOPC where it was agreed in that forum that this was not a requirement of the IOPC Statutory Guidance. Therefore, in accordance with this previous discussion, whilst the recommendation is acknowledged it will not be implemented for the reasons previously given.</w:t>
      </w:r>
    </w:p>
    <w:p w14:paraId="6A435DA7" w14:textId="5974FAD2" w:rsidR="00337958" w:rsidRPr="004D4CB9" w:rsidRDefault="00337958" w:rsidP="00337958">
      <w:pPr>
        <w:pStyle w:val="NoSpacing"/>
        <w:jc w:val="both"/>
        <w:rPr>
          <w:rFonts w:ascii="Helvetica" w:hAnsi="Helvetica" w:cs="Helvetica"/>
          <w:color w:val="002060"/>
        </w:rPr>
      </w:pPr>
    </w:p>
    <w:p w14:paraId="77C72061" w14:textId="5B21DBD8" w:rsidR="00337958" w:rsidRPr="004D4CB9" w:rsidRDefault="00337958" w:rsidP="00337958">
      <w:pPr>
        <w:pStyle w:val="NoSpacing"/>
        <w:jc w:val="both"/>
        <w:rPr>
          <w:rFonts w:ascii="Helvetica" w:hAnsi="Helvetica" w:cs="Helvetica"/>
          <w:color w:val="002060"/>
        </w:rPr>
      </w:pPr>
      <w:r w:rsidRPr="004D4CB9">
        <w:rPr>
          <w:rFonts w:ascii="Helvetica" w:hAnsi="Helvetica" w:cs="Helvetica"/>
          <w:color w:val="002060"/>
        </w:rPr>
        <w:t xml:space="preserve">For completeness, specific responses are provided </w:t>
      </w:r>
      <w:r w:rsidR="009D1ED8" w:rsidRPr="004D4CB9">
        <w:rPr>
          <w:rFonts w:ascii="Helvetica" w:hAnsi="Helvetica" w:cs="Helvetica"/>
          <w:color w:val="002060"/>
        </w:rPr>
        <w:t xml:space="preserve">below </w:t>
      </w:r>
      <w:r w:rsidRPr="004D4CB9">
        <w:rPr>
          <w:rFonts w:ascii="Helvetica" w:hAnsi="Helvetica" w:cs="Helvetica"/>
          <w:color w:val="002060"/>
        </w:rPr>
        <w:t>in respect of the 2 cases in question:</w:t>
      </w:r>
    </w:p>
    <w:p w14:paraId="0445D20F" w14:textId="7F48949C" w:rsidR="00337958" w:rsidRPr="004D4CB9" w:rsidRDefault="00337958" w:rsidP="00337958">
      <w:pPr>
        <w:pStyle w:val="NoSpacing"/>
        <w:jc w:val="both"/>
        <w:rPr>
          <w:rFonts w:ascii="Helvetica" w:hAnsi="Helvetica" w:cs="Helvetica"/>
          <w:color w:val="002060"/>
        </w:rPr>
      </w:pPr>
    </w:p>
    <w:p w14:paraId="7FBD1565" w14:textId="774E800B" w:rsidR="00337958" w:rsidRPr="004D4CB9" w:rsidRDefault="00891B8F" w:rsidP="00337958">
      <w:pPr>
        <w:pStyle w:val="NoSpacing"/>
        <w:numPr>
          <w:ilvl w:val="0"/>
          <w:numId w:val="34"/>
        </w:numPr>
        <w:jc w:val="both"/>
        <w:rPr>
          <w:rFonts w:ascii="Helvetica" w:hAnsi="Helvetica" w:cs="Helvetica"/>
          <w:color w:val="002060"/>
          <w:u w:val="single"/>
        </w:rPr>
      </w:pPr>
      <w:r>
        <w:rPr>
          <w:rFonts w:ascii="Helvetica" w:hAnsi="Helvetica" w:cs="Helvetica"/>
          <w:color w:val="002060"/>
          <w:u w:val="single"/>
        </w:rPr>
        <w:t xml:space="preserve">Case 2 </w:t>
      </w:r>
    </w:p>
    <w:p w14:paraId="13EAC59F" w14:textId="77777777" w:rsidR="00337958" w:rsidRPr="004D4CB9" w:rsidRDefault="00337958" w:rsidP="00337958">
      <w:pPr>
        <w:pStyle w:val="NoSpacing"/>
        <w:ind w:left="720"/>
        <w:jc w:val="both"/>
        <w:rPr>
          <w:rFonts w:ascii="Helvetica" w:hAnsi="Helvetica" w:cs="Helvetica"/>
          <w:color w:val="002060"/>
        </w:rPr>
      </w:pPr>
      <w:r w:rsidRPr="004D4CB9">
        <w:rPr>
          <w:rFonts w:ascii="Helvetica" w:hAnsi="Helvetica" w:cs="Helvetica"/>
          <w:color w:val="002060"/>
        </w:rPr>
        <w:t xml:space="preserve">The OPCC noted that an acknowledgement email had been sent to the complainant on 12th October 2020, however the acknowledgment did not include a summary of the recorded complaint either within the body of the email, nor as a separate case register document. </w:t>
      </w:r>
    </w:p>
    <w:p w14:paraId="6567F846" w14:textId="77777777" w:rsidR="00337958" w:rsidRPr="004D4CB9" w:rsidRDefault="00337958" w:rsidP="00337958">
      <w:pPr>
        <w:pStyle w:val="NoSpacing"/>
        <w:ind w:left="720"/>
        <w:jc w:val="both"/>
        <w:rPr>
          <w:rFonts w:ascii="Helvetica" w:hAnsi="Helvetica" w:cs="Helvetica"/>
          <w:color w:val="002060"/>
        </w:rPr>
      </w:pPr>
    </w:p>
    <w:p w14:paraId="30AC170A" w14:textId="186E9572" w:rsidR="00337958" w:rsidRPr="004D4CB9" w:rsidRDefault="00337958" w:rsidP="00337958">
      <w:pPr>
        <w:pStyle w:val="NoSpacing"/>
        <w:ind w:left="720"/>
        <w:jc w:val="both"/>
        <w:rPr>
          <w:rFonts w:ascii="Helvetica" w:hAnsi="Helvetica" w:cs="Helvetica"/>
          <w:color w:val="002060"/>
        </w:rPr>
      </w:pPr>
      <w:r w:rsidRPr="004D4CB9">
        <w:rPr>
          <w:rFonts w:ascii="Helvetica" w:hAnsi="Helvetica" w:cs="Helvetica"/>
          <w:color w:val="002060"/>
        </w:rPr>
        <w:t>The OPCC have identified that the inclusion of a summary of the complaint at this stage of the complaint process, may have prevented the new allegations being overlooked and would invite PSD to consider this as a recommendation.</w:t>
      </w:r>
    </w:p>
    <w:p w14:paraId="54FCAFE6" w14:textId="77777777" w:rsidR="00337958" w:rsidRPr="004D4CB9" w:rsidRDefault="00337958" w:rsidP="00337958">
      <w:pPr>
        <w:pStyle w:val="NoSpacing"/>
        <w:jc w:val="both"/>
        <w:rPr>
          <w:rFonts w:ascii="Helvetica" w:hAnsi="Helvetica" w:cs="Helvetica"/>
          <w:color w:val="002060"/>
        </w:rPr>
      </w:pPr>
    </w:p>
    <w:p w14:paraId="606B7D13" w14:textId="400500B0" w:rsidR="00337958" w:rsidRPr="004D4CB9" w:rsidRDefault="00337958" w:rsidP="00337958">
      <w:pPr>
        <w:pStyle w:val="NoSpacing"/>
        <w:ind w:left="720"/>
        <w:jc w:val="both"/>
        <w:rPr>
          <w:rFonts w:ascii="Helvetica" w:hAnsi="Helvetica" w:cs="Helvetica"/>
          <w:b/>
          <w:color w:val="002060"/>
          <w:u w:val="single"/>
        </w:rPr>
      </w:pPr>
      <w:r w:rsidRPr="004D4CB9">
        <w:rPr>
          <w:rFonts w:ascii="Helvetica" w:hAnsi="Helvetica" w:cs="Helvetica"/>
          <w:b/>
          <w:color w:val="002060"/>
          <w:u w:val="single"/>
        </w:rPr>
        <w:t>PSD response:</w:t>
      </w:r>
    </w:p>
    <w:p w14:paraId="1AF8300A" w14:textId="77777777" w:rsidR="00172DC6" w:rsidRPr="004D4CB9" w:rsidRDefault="00172DC6" w:rsidP="00337958">
      <w:pPr>
        <w:pStyle w:val="NoSpacing"/>
        <w:ind w:left="720"/>
        <w:jc w:val="both"/>
        <w:rPr>
          <w:rFonts w:ascii="Helvetica" w:hAnsi="Helvetica" w:cs="Helvetica"/>
          <w:b/>
          <w:color w:val="002060"/>
          <w:u w:val="single"/>
        </w:rPr>
      </w:pPr>
    </w:p>
    <w:p w14:paraId="636C418E" w14:textId="4FC89EAD" w:rsidR="00172DC6" w:rsidRPr="004D4CB9" w:rsidRDefault="006843E2" w:rsidP="00337958">
      <w:pPr>
        <w:pStyle w:val="NoSpacing"/>
        <w:ind w:left="720"/>
        <w:jc w:val="both"/>
        <w:rPr>
          <w:rFonts w:ascii="Helvetica" w:hAnsi="Helvetica" w:cs="Helvetica"/>
          <w:color w:val="002060"/>
        </w:rPr>
      </w:pPr>
      <w:r w:rsidRPr="004D4CB9">
        <w:rPr>
          <w:rFonts w:ascii="Helvetica" w:hAnsi="Helvetica" w:cs="Helvetica"/>
          <w:color w:val="002060"/>
        </w:rPr>
        <w:t>It should be clarified that t</w:t>
      </w:r>
      <w:r w:rsidR="00337958" w:rsidRPr="004D4CB9">
        <w:rPr>
          <w:rFonts w:ascii="Helvetica" w:hAnsi="Helvetica" w:cs="Helvetica"/>
          <w:color w:val="002060"/>
        </w:rPr>
        <w:t>he email sent on the 12th Oct</w:t>
      </w:r>
      <w:r w:rsidR="00172DC6" w:rsidRPr="004D4CB9">
        <w:rPr>
          <w:rFonts w:ascii="Helvetica" w:hAnsi="Helvetica" w:cs="Helvetica"/>
          <w:color w:val="002060"/>
        </w:rPr>
        <w:t>ober</w:t>
      </w:r>
      <w:r w:rsidR="004D4CB9">
        <w:rPr>
          <w:rFonts w:ascii="Helvetica" w:hAnsi="Helvetica" w:cs="Helvetica"/>
          <w:color w:val="002060"/>
        </w:rPr>
        <w:t xml:space="preserve"> 2020</w:t>
      </w:r>
      <w:r w:rsidR="00337958" w:rsidRPr="004D4CB9">
        <w:rPr>
          <w:rFonts w:ascii="Helvetica" w:hAnsi="Helvetica" w:cs="Helvetica"/>
          <w:color w:val="002060"/>
        </w:rPr>
        <w:t xml:space="preserve"> was a on</w:t>
      </w:r>
      <w:r w:rsidR="00172DC6" w:rsidRPr="004D4CB9">
        <w:rPr>
          <w:rFonts w:ascii="Helvetica" w:hAnsi="Helvetica" w:cs="Helvetica"/>
          <w:color w:val="002060"/>
        </w:rPr>
        <w:t>e line acknowledgement from the PSD administration function, the purpose of which was</w:t>
      </w:r>
      <w:r w:rsidR="00337958" w:rsidRPr="004D4CB9">
        <w:rPr>
          <w:rFonts w:ascii="Helvetica" w:hAnsi="Helvetica" w:cs="Helvetica"/>
          <w:color w:val="002060"/>
        </w:rPr>
        <w:t xml:space="preserve"> simply to let the complainant know </w:t>
      </w:r>
      <w:r w:rsidR="00172DC6" w:rsidRPr="004D4CB9">
        <w:rPr>
          <w:rFonts w:ascii="Helvetica" w:hAnsi="Helvetica" w:cs="Helvetica"/>
          <w:color w:val="002060"/>
        </w:rPr>
        <w:t>that we had received their</w:t>
      </w:r>
      <w:r w:rsidR="00337958" w:rsidRPr="004D4CB9">
        <w:rPr>
          <w:rFonts w:ascii="Helvetica" w:hAnsi="Helvetica" w:cs="Helvetica"/>
          <w:color w:val="002060"/>
        </w:rPr>
        <w:t xml:space="preserve"> complaint. It was just a courtesy email</w:t>
      </w:r>
      <w:r w:rsidR="00172DC6" w:rsidRPr="004D4CB9">
        <w:rPr>
          <w:rFonts w:ascii="Helvetica" w:hAnsi="Helvetica" w:cs="Helvetica"/>
          <w:color w:val="002060"/>
        </w:rPr>
        <w:t xml:space="preserve"> as opposed to a formal r</w:t>
      </w:r>
      <w:r w:rsidR="004D4CB9">
        <w:rPr>
          <w:rFonts w:ascii="Helvetica" w:hAnsi="Helvetica" w:cs="Helvetica"/>
          <w:color w:val="002060"/>
        </w:rPr>
        <w:t>ecording / decision letter. The</w:t>
      </w:r>
      <w:r w:rsidR="00337958" w:rsidRPr="004D4CB9">
        <w:rPr>
          <w:rFonts w:ascii="Helvetica" w:hAnsi="Helvetica" w:cs="Helvetica"/>
          <w:color w:val="002060"/>
        </w:rPr>
        <w:t xml:space="preserve"> complaint had not even been read at this stage. </w:t>
      </w:r>
    </w:p>
    <w:p w14:paraId="1FA966DF" w14:textId="77777777" w:rsidR="00172DC6" w:rsidRPr="004D4CB9" w:rsidRDefault="00172DC6" w:rsidP="00337958">
      <w:pPr>
        <w:pStyle w:val="NoSpacing"/>
        <w:ind w:left="720"/>
        <w:jc w:val="both"/>
        <w:rPr>
          <w:rFonts w:ascii="Helvetica" w:hAnsi="Helvetica" w:cs="Helvetica"/>
          <w:color w:val="002060"/>
        </w:rPr>
      </w:pPr>
    </w:p>
    <w:p w14:paraId="1E7A331D" w14:textId="7AE36139" w:rsidR="00337958" w:rsidRPr="004D4CB9" w:rsidRDefault="006843E2" w:rsidP="00337958">
      <w:pPr>
        <w:pStyle w:val="NoSpacing"/>
        <w:ind w:left="720"/>
        <w:jc w:val="both"/>
        <w:rPr>
          <w:rFonts w:ascii="Helvetica" w:hAnsi="Helvetica" w:cs="Helvetica"/>
          <w:color w:val="002060"/>
        </w:rPr>
      </w:pPr>
      <w:r w:rsidRPr="004D4CB9">
        <w:rPr>
          <w:rFonts w:ascii="Helvetica" w:hAnsi="Helvetica" w:cs="Helvetica"/>
          <w:color w:val="002060"/>
        </w:rPr>
        <w:t>Once the complaint had been properly considered/recorded</w:t>
      </w:r>
      <w:r w:rsidR="009D1ED8" w:rsidRPr="004D4CB9">
        <w:rPr>
          <w:rFonts w:ascii="Helvetica" w:hAnsi="Helvetica" w:cs="Helvetica"/>
          <w:color w:val="002060"/>
        </w:rPr>
        <w:t xml:space="preserve"> by the Appropriate Authority</w:t>
      </w:r>
      <w:r w:rsidRPr="004D4CB9">
        <w:rPr>
          <w:rFonts w:ascii="Helvetica" w:hAnsi="Helvetica" w:cs="Helvetica"/>
          <w:color w:val="002060"/>
        </w:rPr>
        <w:t>, a</w:t>
      </w:r>
      <w:r w:rsidR="00337958" w:rsidRPr="004D4CB9">
        <w:rPr>
          <w:rFonts w:ascii="Helvetica" w:hAnsi="Helvetica" w:cs="Helvetica"/>
          <w:color w:val="002060"/>
        </w:rPr>
        <w:t xml:space="preserve"> summary of the complaint (case register) was provided </w:t>
      </w:r>
      <w:r w:rsidRPr="004D4CB9">
        <w:rPr>
          <w:rFonts w:ascii="Helvetica" w:hAnsi="Helvetica" w:cs="Helvetica"/>
          <w:color w:val="002060"/>
        </w:rPr>
        <w:t xml:space="preserve">to the complainant along </w:t>
      </w:r>
      <w:r w:rsidR="00337958" w:rsidRPr="004D4CB9">
        <w:rPr>
          <w:rFonts w:ascii="Helvetica" w:hAnsi="Helvetica" w:cs="Helvetica"/>
          <w:color w:val="002060"/>
        </w:rPr>
        <w:t xml:space="preserve">with the NFA </w:t>
      </w:r>
      <w:r w:rsidRPr="004D4CB9">
        <w:rPr>
          <w:rFonts w:ascii="Helvetica" w:hAnsi="Helvetica" w:cs="Helvetica"/>
          <w:color w:val="002060"/>
        </w:rPr>
        <w:t xml:space="preserve">outcome </w:t>
      </w:r>
      <w:r w:rsidR="00337958" w:rsidRPr="004D4CB9">
        <w:rPr>
          <w:rFonts w:ascii="Helvetica" w:hAnsi="Helvetica" w:cs="Helvetica"/>
          <w:color w:val="002060"/>
        </w:rPr>
        <w:t>letter.</w:t>
      </w:r>
      <w:r w:rsidRPr="004D4CB9">
        <w:rPr>
          <w:rFonts w:ascii="Helvetica" w:hAnsi="Helvetica" w:cs="Helvetica"/>
          <w:color w:val="002060"/>
        </w:rPr>
        <w:t xml:space="preserve"> </w:t>
      </w:r>
    </w:p>
    <w:p w14:paraId="28B2A70D" w14:textId="720133E9" w:rsidR="00337958" w:rsidRPr="004D4CB9" w:rsidRDefault="00337958" w:rsidP="00337958">
      <w:pPr>
        <w:pStyle w:val="NoSpacing"/>
        <w:rPr>
          <w:rFonts w:ascii="Helvetica" w:hAnsi="Helvetica" w:cs="Helvetica"/>
          <w:color w:val="002060"/>
        </w:rPr>
      </w:pPr>
    </w:p>
    <w:p w14:paraId="2C3D8739" w14:textId="678FD28F" w:rsidR="00172DC6" w:rsidRPr="004D4CB9" w:rsidRDefault="00172DC6" w:rsidP="00337958">
      <w:pPr>
        <w:pStyle w:val="NoSpacing"/>
        <w:rPr>
          <w:rFonts w:ascii="Helvetica" w:hAnsi="Helvetica" w:cs="Helvetica"/>
          <w:color w:val="002060"/>
        </w:rPr>
      </w:pPr>
    </w:p>
    <w:p w14:paraId="2030F73C" w14:textId="2957B13D" w:rsidR="00172DC6" w:rsidRPr="004D4CB9" w:rsidRDefault="00891B8F" w:rsidP="00172DC6">
      <w:pPr>
        <w:pStyle w:val="NoSpacing"/>
        <w:numPr>
          <w:ilvl w:val="0"/>
          <w:numId w:val="34"/>
        </w:numPr>
        <w:rPr>
          <w:rFonts w:ascii="Helvetica" w:hAnsi="Helvetica" w:cs="Helvetica"/>
          <w:color w:val="002060"/>
          <w:u w:val="single"/>
        </w:rPr>
      </w:pPr>
      <w:r>
        <w:rPr>
          <w:rFonts w:ascii="Helvetica" w:hAnsi="Helvetica" w:cs="Helvetica"/>
          <w:color w:val="002060"/>
          <w:u w:val="single"/>
        </w:rPr>
        <w:t xml:space="preserve">Case 3 </w:t>
      </w:r>
    </w:p>
    <w:p w14:paraId="78FC4CF6" w14:textId="3857CAD1" w:rsidR="00172DC6" w:rsidRPr="004D4CB9" w:rsidRDefault="006843E2" w:rsidP="006843E2">
      <w:pPr>
        <w:pStyle w:val="NoSpacing"/>
        <w:ind w:left="720"/>
        <w:jc w:val="both"/>
        <w:rPr>
          <w:rFonts w:ascii="Helvetica" w:hAnsi="Helvetica" w:cs="Helvetica"/>
          <w:color w:val="002060"/>
        </w:rPr>
      </w:pPr>
      <w:r w:rsidRPr="004D4CB9">
        <w:rPr>
          <w:rFonts w:ascii="Helvetica" w:hAnsi="Helvetica" w:cs="Helvetica"/>
          <w:color w:val="002060"/>
        </w:rPr>
        <w:t>T</w:t>
      </w:r>
      <w:r w:rsidR="00172DC6" w:rsidRPr="004D4CB9">
        <w:rPr>
          <w:rFonts w:ascii="Helvetica" w:hAnsi="Helvetica" w:cs="Helvetica"/>
          <w:color w:val="002060"/>
        </w:rPr>
        <w:t>he OPCC noted that there was no documentation to evidence the complaint raised with PSD i.e. evidence of the complainant</w:t>
      </w:r>
      <w:r w:rsidR="00371641" w:rsidRPr="004D4CB9">
        <w:rPr>
          <w:rFonts w:ascii="Helvetica" w:hAnsi="Helvetica" w:cs="Helvetica"/>
          <w:color w:val="002060"/>
        </w:rPr>
        <w:t>’</w:t>
      </w:r>
      <w:r w:rsidR="00172DC6" w:rsidRPr="004D4CB9">
        <w:rPr>
          <w:rFonts w:ascii="Helvetica" w:hAnsi="Helvetica" w:cs="Helvetica"/>
          <w:color w:val="002060"/>
        </w:rPr>
        <w:t>s initial contact with PSD, which was due to the complaint being made over the phone. It was noted that PSD had contacted the complainant by phone and sent an email to confirm the phone call; however the OPCC would suggest that at this stage, PSD could consider including a summary of the complaint to the complainant, as the complaint was taken over the phone, to confirm understanding.</w:t>
      </w:r>
    </w:p>
    <w:p w14:paraId="56619DB9" w14:textId="77777777" w:rsidR="00172DC6" w:rsidRPr="004D4CB9" w:rsidRDefault="00172DC6" w:rsidP="00172DC6">
      <w:pPr>
        <w:pStyle w:val="NoSpacing"/>
        <w:ind w:left="720"/>
        <w:rPr>
          <w:rFonts w:ascii="Helvetica" w:hAnsi="Helvetica" w:cs="Helvetica"/>
          <w:color w:val="002060"/>
        </w:rPr>
      </w:pPr>
    </w:p>
    <w:p w14:paraId="40966316" w14:textId="102D74F3" w:rsidR="00172DC6" w:rsidRPr="004D4CB9" w:rsidRDefault="00172DC6" w:rsidP="00172DC6">
      <w:pPr>
        <w:pStyle w:val="NoSpacing"/>
        <w:ind w:left="720"/>
        <w:rPr>
          <w:rFonts w:ascii="Helvetica" w:hAnsi="Helvetica" w:cs="Helvetica"/>
          <w:b/>
          <w:color w:val="002060"/>
          <w:u w:val="single"/>
        </w:rPr>
      </w:pPr>
      <w:r w:rsidRPr="004D4CB9">
        <w:rPr>
          <w:rFonts w:ascii="Helvetica" w:hAnsi="Helvetica" w:cs="Helvetica"/>
          <w:b/>
          <w:color w:val="002060"/>
          <w:u w:val="single"/>
        </w:rPr>
        <w:t>PSD response:</w:t>
      </w:r>
    </w:p>
    <w:p w14:paraId="3AEC45A6" w14:textId="77777777" w:rsidR="006843E2" w:rsidRPr="004D4CB9" w:rsidRDefault="006843E2" w:rsidP="00172DC6">
      <w:pPr>
        <w:pStyle w:val="NoSpacing"/>
        <w:ind w:left="720"/>
        <w:rPr>
          <w:rFonts w:ascii="Helvetica" w:hAnsi="Helvetica" w:cs="Helvetica"/>
          <w:b/>
          <w:color w:val="002060"/>
          <w:u w:val="single"/>
        </w:rPr>
      </w:pPr>
    </w:p>
    <w:p w14:paraId="5B2EEBDE" w14:textId="10C07C3F" w:rsidR="00172DC6" w:rsidRPr="004D4CB9" w:rsidRDefault="00172DC6" w:rsidP="006843E2">
      <w:pPr>
        <w:pStyle w:val="NoSpacing"/>
        <w:ind w:left="720"/>
        <w:jc w:val="both"/>
        <w:rPr>
          <w:rFonts w:ascii="Helvetica" w:hAnsi="Helvetica" w:cs="Helvetica"/>
          <w:color w:val="002060"/>
        </w:rPr>
      </w:pPr>
      <w:r w:rsidRPr="004D4CB9">
        <w:rPr>
          <w:rFonts w:ascii="Helvetica" w:hAnsi="Helvetica" w:cs="Helvetica"/>
          <w:color w:val="002060"/>
        </w:rPr>
        <w:t>There may be some confusion in respect of the process</w:t>
      </w:r>
      <w:r w:rsidR="00371641" w:rsidRPr="004D4CB9">
        <w:rPr>
          <w:rFonts w:ascii="Helvetica" w:hAnsi="Helvetica" w:cs="Helvetica"/>
          <w:color w:val="002060"/>
        </w:rPr>
        <w:t xml:space="preserve"> taken</w:t>
      </w:r>
      <w:r w:rsidRPr="004D4CB9">
        <w:rPr>
          <w:rFonts w:ascii="Helvetica" w:hAnsi="Helvetica" w:cs="Helvetica"/>
          <w:color w:val="002060"/>
        </w:rPr>
        <w:t xml:space="preserve"> in respect of this particular case.</w:t>
      </w:r>
    </w:p>
    <w:p w14:paraId="0FED254D" w14:textId="77777777" w:rsidR="00172DC6" w:rsidRPr="004D4CB9" w:rsidRDefault="00172DC6" w:rsidP="006843E2">
      <w:pPr>
        <w:pStyle w:val="NoSpacing"/>
        <w:ind w:left="720"/>
        <w:jc w:val="both"/>
        <w:rPr>
          <w:rFonts w:ascii="Helvetica" w:hAnsi="Helvetica" w:cs="Helvetica"/>
          <w:color w:val="002060"/>
        </w:rPr>
      </w:pPr>
    </w:p>
    <w:p w14:paraId="72F2D84D" w14:textId="4EBFB19D" w:rsidR="00172DC6" w:rsidRPr="004D4CB9" w:rsidRDefault="00172DC6" w:rsidP="006843E2">
      <w:pPr>
        <w:pStyle w:val="NoSpacing"/>
        <w:ind w:left="720"/>
        <w:jc w:val="both"/>
        <w:rPr>
          <w:rFonts w:ascii="Helvetica" w:hAnsi="Helvetica" w:cs="Helvetica"/>
          <w:color w:val="002060"/>
        </w:rPr>
      </w:pPr>
      <w:r w:rsidRPr="004D4CB9">
        <w:rPr>
          <w:rFonts w:ascii="Helvetica" w:hAnsi="Helvetica" w:cs="Helvetica"/>
          <w:color w:val="002060"/>
        </w:rPr>
        <w:t xml:space="preserve">The complaint was handled entirely by a local inspector </w:t>
      </w:r>
      <w:r w:rsidRPr="004D4CB9">
        <w:rPr>
          <w:rFonts w:ascii="Helvetica" w:hAnsi="Helvetica" w:cs="Helvetica"/>
          <w:color w:val="002060"/>
          <w:u w:val="single"/>
        </w:rPr>
        <w:t>outside of schedule 3</w:t>
      </w:r>
      <w:r w:rsidRPr="004D4CB9">
        <w:rPr>
          <w:rFonts w:ascii="Helvetica" w:hAnsi="Helvetica" w:cs="Helvetica"/>
          <w:color w:val="002060"/>
        </w:rPr>
        <w:t xml:space="preserve">. The complainant made direct contact with the local inspector who (positively and in the spirit of a customer focussed approach) assumed </w:t>
      </w:r>
      <w:r w:rsidR="004D4CB9">
        <w:rPr>
          <w:rFonts w:ascii="Helvetica" w:hAnsi="Helvetica" w:cs="Helvetica"/>
          <w:color w:val="002060"/>
        </w:rPr>
        <w:t xml:space="preserve">immediate </w:t>
      </w:r>
      <w:r w:rsidRPr="004D4CB9">
        <w:rPr>
          <w:rFonts w:ascii="Helvetica" w:hAnsi="Helvetica" w:cs="Helvetica"/>
          <w:color w:val="002060"/>
        </w:rPr>
        <w:t xml:space="preserve">ownership and resolved the complaint </w:t>
      </w:r>
      <w:r w:rsidR="0012026A" w:rsidRPr="004D4CB9">
        <w:rPr>
          <w:rFonts w:ascii="Helvetica" w:hAnsi="Helvetica" w:cs="Helvetica"/>
          <w:color w:val="002060"/>
        </w:rPr>
        <w:t>in a reasonable and proportionate</w:t>
      </w:r>
      <w:r w:rsidR="009D1ED8" w:rsidRPr="004D4CB9">
        <w:rPr>
          <w:rFonts w:ascii="Helvetica" w:hAnsi="Helvetica" w:cs="Helvetica"/>
          <w:color w:val="002060"/>
        </w:rPr>
        <w:t xml:space="preserve"> manner </w:t>
      </w:r>
      <w:r w:rsidRPr="004D4CB9">
        <w:rPr>
          <w:rFonts w:ascii="Helvetica" w:hAnsi="Helvetica" w:cs="Helvetica"/>
          <w:color w:val="002060"/>
        </w:rPr>
        <w:t xml:space="preserve">before PSD were aware of it. </w:t>
      </w:r>
    </w:p>
    <w:p w14:paraId="05A8C234" w14:textId="77777777" w:rsidR="00172DC6" w:rsidRPr="004D4CB9" w:rsidRDefault="00172DC6" w:rsidP="006843E2">
      <w:pPr>
        <w:pStyle w:val="NoSpacing"/>
        <w:ind w:left="720"/>
        <w:jc w:val="both"/>
        <w:rPr>
          <w:rFonts w:ascii="Helvetica" w:hAnsi="Helvetica" w:cs="Helvetica"/>
          <w:color w:val="002060"/>
        </w:rPr>
      </w:pPr>
    </w:p>
    <w:p w14:paraId="6C001C19" w14:textId="223D73E0" w:rsidR="00172DC6" w:rsidRPr="004D4CB9" w:rsidRDefault="00172DC6" w:rsidP="006843E2">
      <w:pPr>
        <w:pStyle w:val="NoSpacing"/>
        <w:ind w:left="720"/>
        <w:jc w:val="both"/>
        <w:rPr>
          <w:rFonts w:ascii="Helvetica" w:hAnsi="Helvetica" w:cs="Helvetica"/>
          <w:color w:val="002060"/>
        </w:rPr>
      </w:pPr>
      <w:r w:rsidRPr="004D4CB9">
        <w:rPr>
          <w:rFonts w:ascii="Helvetica" w:hAnsi="Helvetica" w:cs="Helvetica"/>
          <w:color w:val="002060"/>
        </w:rPr>
        <w:t xml:space="preserve">PSD </w:t>
      </w:r>
      <w:r w:rsidR="006843E2" w:rsidRPr="004D4CB9">
        <w:rPr>
          <w:rFonts w:ascii="Helvetica" w:hAnsi="Helvetica" w:cs="Helvetica"/>
          <w:color w:val="002060"/>
        </w:rPr>
        <w:t>became sighted on the complaint</w:t>
      </w:r>
      <w:r w:rsidRPr="004D4CB9">
        <w:rPr>
          <w:rFonts w:ascii="Helvetica" w:hAnsi="Helvetica" w:cs="Helvetica"/>
          <w:color w:val="002060"/>
        </w:rPr>
        <w:t xml:space="preserve"> </w:t>
      </w:r>
      <w:r w:rsidR="00371641" w:rsidRPr="004D4CB9">
        <w:rPr>
          <w:rFonts w:ascii="Helvetica" w:hAnsi="Helvetica" w:cs="Helvetica"/>
          <w:color w:val="002060"/>
        </w:rPr>
        <w:t xml:space="preserve">on </w:t>
      </w:r>
      <w:r w:rsidR="00371641" w:rsidRPr="004D4CB9">
        <w:rPr>
          <w:rFonts w:ascii="Helvetica" w:hAnsi="Helvetica" w:cs="Helvetica"/>
          <w:b/>
          <w:color w:val="002060"/>
        </w:rPr>
        <w:t>26</w:t>
      </w:r>
      <w:r w:rsidR="00371641" w:rsidRPr="004D4CB9">
        <w:rPr>
          <w:rFonts w:ascii="Helvetica" w:hAnsi="Helvetica" w:cs="Helvetica"/>
          <w:b/>
          <w:color w:val="002060"/>
          <w:vertAlign w:val="superscript"/>
        </w:rPr>
        <w:t>th</w:t>
      </w:r>
      <w:r w:rsidR="00371641" w:rsidRPr="004D4CB9">
        <w:rPr>
          <w:rFonts w:ascii="Helvetica" w:hAnsi="Helvetica" w:cs="Helvetica"/>
          <w:b/>
          <w:color w:val="002060"/>
        </w:rPr>
        <w:t xml:space="preserve"> October 2020</w:t>
      </w:r>
      <w:r w:rsidR="00371641" w:rsidRPr="004D4CB9">
        <w:rPr>
          <w:rFonts w:ascii="Helvetica" w:hAnsi="Helvetica" w:cs="Helvetica"/>
          <w:color w:val="002060"/>
        </w:rPr>
        <w:t xml:space="preserve"> </w:t>
      </w:r>
      <w:r w:rsidRPr="004D4CB9">
        <w:rPr>
          <w:rFonts w:ascii="Helvetica" w:hAnsi="Helvetica" w:cs="Helvetica"/>
          <w:color w:val="002060"/>
        </w:rPr>
        <w:t xml:space="preserve">when the inspector contacted the Department to make us aware of the complaint and to let us know what </w:t>
      </w:r>
      <w:r w:rsidRPr="004D4CB9">
        <w:rPr>
          <w:rFonts w:ascii="Helvetica" w:hAnsi="Helvetica" w:cs="Helvetica"/>
          <w:color w:val="002060"/>
        </w:rPr>
        <w:lastRenderedPageBreak/>
        <w:t>he had done to resolve it. The inspector maintained communication with the complainant throughout</w:t>
      </w:r>
      <w:r w:rsidR="0012026A" w:rsidRPr="004D4CB9">
        <w:rPr>
          <w:rFonts w:ascii="Helvetica" w:hAnsi="Helvetica" w:cs="Helvetica"/>
          <w:color w:val="002060"/>
        </w:rPr>
        <w:t xml:space="preserve"> his handling of the matter</w:t>
      </w:r>
      <w:r w:rsidRPr="004D4CB9">
        <w:rPr>
          <w:rFonts w:ascii="Helvetica" w:hAnsi="Helvetica" w:cs="Helvetica"/>
          <w:color w:val="002060"/>
        </w:rPr>
        <w:t>.</w:t>
      </w:r>
    </w:p>
    <w:p w14:paraId="06BFE7DF" w14:textId="77777777" w:rsidR="00172DC6" w:rsidRPr="004D4CB9" w:rsidRDefault="00172DC6" w:rsidP="00172DC6">
      <w:pPr>
        <w:pStyle w:val="NoSpacing"/>
        <w:ind w:left="720"/>
        <w:rPr>
          <w:rFonts w:ascii="Helvetica" w:hAnsi="Helvetica" w:cs="Helvetica"/>
          <w:color w:val="002060"/>
        </w:rPr>
      </w:pPr>
    </w:p>
    <w:p w14:paraId="138DA0A1" w14:textId="3AB17639" w:rsidR="00172DC6" w:rsidRPr="004D4CB9" w:rsidRDefault="00172DC6" w:rsidP="0012026A">
      <w:pPr>
        <w:pStyle w:val="NoSpacing"/>
        <w:ind w:left="720"/>
        <w:jc w:val="both"/>
        <w:rPr>
          <w:rFonts w:ascii="Helvetica" w:hAnsi="Helvetica" w:cs="Helvetica"/>
          <w:color w:val="002060"/>
        </w:rPr>
      </w:pPr>
      <w:r w:rsidRPr="004D4CB9">
        <w:rPr>
          <w:rFonts w:ascii="Helvetica" w:hAnsi="Helvetica" w:cs="Helvetica"/>
          <w:color w:val="002060"/>
        </w:rPr>
        <w:t xml:space="preserve">Ordinarily, we would have just logged this as an Outside Schedule 3 complaint with no need to write to the complainant </w:t>
      </w:r>
      <w:r w:rsidR="006843E2" w:rsidRPr="004D4CB9">
        <w:rPr>
          <w:rFonts w:ascii="Helvetica" w:hAnsi="Helvetica" w:cs="Helvetica"/>
          <w:color w:val="002060"/>
        </w:rPr>
        <w:t>(</w:t>
      </w:r>
      <w:r w:rsidRPr="004D4CB9">
        <w:rPr>
          <w:rFonts w:ascii="Helvetica" w:hAnsi="Helvetica" w:cs="Helvetica"/>
          <w:color w:val="002060"/>
        </w:rPr>
        <w:t xml:space="preserve">as the inspector had already updated them). However, </w:t>
      </w:r>
      <w:r w:rsidR="006843E2" w:rsidRPr="004D4CB9">
        <w:rPr>
          <w:rFonts w:ascii="Helvetica" w:hAnsi="Helvetica" w:cs="Helvetica"/>
          <w:color w:val="002060"/>
        </w:rPr>
        <w:t xml:space="preserve">as this complaint contained a perceived </w:t>
      </w:r>
      <w:r w:rsidRPr="004D4CB9">
        <w:rPr>
          <w:rFonts w:ascii="Helvetica" w:hAnsi="Helvetica" w:cs="Helvetica"/>
          <w:color w:val="002060"/>
        </w:rPr>
        <w:t>discrimination allegation</w:t>
      </w:r>
      <w:r w:rsidR="006843E2" w:rsidRPr="004D4CB9">
        <w:rPr>
          <w:rFonts w:ascii="Helvetica" w:hAnsi="Helvetica" w:cs="Helvetica"/>
          <w:color w:val="002060"/>
        </w:rPr>
        <w:t xml:space="preserve"> (albeit fatuous and meritless),</w:t>
      </w:r>
      <w:r w:rsidRPr="004D4CB9">
        <w:rPr>
          <w:rFonts w:ascii="Helvetica" w:hAnsi="Helvetica" w:cs="Helvetica"/>
          <w:color w:val="002060"/>
        </w:rPr>
        <w:t xml:space="preserve"> in order to comply with legislation we </w:t>
      </w:r>
      <w:r w:rsidR="0012026A" w:rsidRPr="004D4CB9">
        <w:rPr>
          <w:rFonts w:ascii="Helvetica" w:hAnsi="Helvetica" w:cs="Helvetica"/>
          <w:color w:val="002060"/>
        </w:rPr>
        <w:t>decided at that point to record</w:t>
      </w:r>
      <w:r w:rsidRPr="004D4CB9">
        <w:rPr>
          <w:rFonts w:ascii="Helvetica" w:hAnsi="Helvetica" w:cs="Helvetica"/>
          <w:color w:val="002060"/>
        </w:rPr>
        <w:t xml:space="preserve"> it as a Sc</w:t>
      </w:r>
      <w:r w:rsidR="0012026A" w:rsidRPr="004D4CB9">
        <w:rPr>
          <w:rFonts w:ascii="Helvetica" w:hAnsi="Helvetica" w:cs="Helvetica"/>
          <w:color w:val="002060"/>
        </w:rPr>
        <w:t>hedule 3 complaint and send</w:t>
      </w:r>
      <w:r w:rsidR="006843E2" w:rsidRPr="004D4CB9">
        <w:rPr>
          <w:rFonts w:ascii="Helvetica" w:hAnsi="Helvetica" w:cs="Helvetica"/>
          <w:color w:val="002060"/>
        </w:rPr>
        <w:t xml:space="preserve"> a formal letter to the </w:t>
      </w:r>
      <w:r w:rsidRPr="004D4CB9">
        <w:rPr>
          <w:rFonts w:ascii="Helvetica" w:hAnsi="Helvetica" w:cs="Helvetica"/>
          <w:color w:val="002060"/>
        </w:rPr>
        <w:t>complainant</w:t>
      </w:r>
      <w:r w:rsidR="004D4CB9">
        <w:rPr>
          <w:rFonts w:ascii="Helvetica" w:hAnsi="Helvetica" w:cs="Helvetica"/>
          <w:color w:val="002060"/>
        </w:rPr>
        <w:t xml:space="preserve"> in the interests of procedural correctness</w:t>
      </w:r>
      <w:r w:rsidR="006843E2" w:rsidRPr="004D4CB9">
        <w:rPr>
          <w:rFonts w:ascii="Helvetica" w:hAnsi="Helvetica" w:cs="Helvetica"/>
          <w:color w:val="002060"/>
        </w:rPr>
        <w:t xml:space="preserve"> and to afford them their statutory appeal right</w:t>
      </w:r>
      <w:r w:rsidRPr="004D4CB9">
        <w:rPr>
          <w:rFonts w:ascii="Helvetica" w:hAnsi="Helvetica" w:cs="Helvetica"/>
          <w:color w:val="002060"/>
        </w:rPr>
        <w:t xml:space="preserve">. </w:t>
      </w:r>
    </w:p>
    <w:p w14:paraId="27447D4A" w14:textId="78CC42F5" w:rsidR="0012026A" w:rsidRPr="004D4CB9" w:rsidRDefault="0012026A" w:rsidP="006843E2">
      <w:pPr>
        <w:pStyle w:val="NoSpacing"/>
        <w:ind w:left="720"/>
        <w:jc w:val="both"/>
        <w:rPr>
          <w:rFonts w:ascii="Helvetica" w:hAnsi="Helvetica" w:cs="Helvetica"/>
          <w:color w:val="002060"/>
        </w:rPr>
      </w:pPr>
    </w:p>
    <w:p w14:paraId="12475D75" w14:textId="312A7F3F" w:rsidR="0012026A" w:rsidRPr="004D4CB9" w:rsidRDefault="0012026A" w:rsidP="006843E2">
      <w:pPr>
        <w:pStyle w:val="NoSpacing"/>
        <w:ind w:left="720"/>
        <w:jc w:val="both"/>
        <w:rPr>
          <w:rFonts w:ascii="Helvetica" w:hAnsi="Helvetica" w:cs="Helvetica"/>
          <w:color w:val="002060"/>
        </w:rPr>
      </w:pPr>
      <w:r w:rsidRPr="004D4CB9">
        <w:rPr>
          <w:rFonts w:ascii="Helvetica" w:hAnsi="Helvetica" w:cs="Helvetica"/>
          <w:color w:val="002060"/>
        </w:rPr>
        <w:t xml:space="preserve">On </w:t>
      </w:r>
      <w:r w:rsidR="003E6EF9" w:rsidRPr="003E6EF9">
        <w:rPr>
          <w:rFonts w:ascii="Helvetica" w:hAnsi="Helvetica" w:cs="Helvetica"/>
          <w:b/>
          <w:color w:val="002060"/>
        </w:rPr>
        <w:t xml:space="preserve">Friday </w:t>
      </w:r>
      <w:r w:rsidRPr="004D4CB9">
        <w:rPr>
          <w:rFonts w:ascii="Helvetica" w:hAnsi="Helvetica" w:cs="Helvetica"/>
          <w:b/>
          <w:color w:val="002060"/>
        </w:rPr>
        <w:t>30</w:t>
      </w:r>
      <w:r w:rsidRPr="004D4CB9">
        <w:rPr>
          <w:rFonts w:ascii="Helvetica" w:hAnsi="Helvetica" w:cs="Helvetica"/>
          <w:b/>
          <w:color w:val="002060"/>
          <w:vertAlign w:val="superscript"/>
        </w:rPr>
        <w:t>th</w:t>
      </w:r>
      <w:r w:rsidRPr="004D4CB9">
        <w:rPr>
          <w:rFonts w:ascii="Helvetica" w:hAnsi="Helvetica" w:cs="Helvetica"/>
          <w:b/>
          <w:color w:val="002060"/>
        </w:rPr>
        <w:t xml:space="preserve"> October 2020</w:t>
      </w:r>
      <w:r w:rsidRPr="004D4CB9">
        <w:rPr>
          <w:rFonts w:ascii="Helvetica" w:hAnsi="Helvetica" w:cs="Helvetica"/>
          <w:color w:val="002060"/>
        </w:rPr>
        <w:t>, the complainant contacted the FCC aski</w:t>
      </w:r>
      <w:r w:rsidR="003E6EF9">
        <w:rPr>
          <w:rFonts w:ascii="Helvetica" w:hAnsi="Helvetica" w:cs="Helvetica"/>
          <w:color w:val="002060"/>
        </w:rPr>
        <w:t>ng for a return call from PSD. It is pleasing to see that t</w:t>
      </w:r>
      <w:r w:rsidRPr="004D4CB9">
        <w:rPr>
          <w:rFonts w:ascii="Helvetica" w:hAnsi="Helvetica" w:cs="Helvetica"/>
          <w:color w:val="002060"/>
        </w:rPr>
        <w:t xml:space="preserve">he PSD Complaint and Dissatisfaction Resolution Officer duly returned the complainant’s call the next working day on </w:t>
      </w:r>
      <w:r w:rsidR="003E6EF9" w:rsidRPr="003E6EF9">
        <w:rPr>
          <w:rFonts w:ascii="Helvetica" w:hAnsi="Helvetica" w:cs="Helvetica"/>
          <w:b/>
          <w:color w:val="002060"/>
        </w:rPr>
        <w:t>Monday</w:t>
      </w:r>
      <w:r w:rsidR="003E6EF9">
        <w:rPr>
          <w:rFonts w:ascii="Helvetica" w:hAnsi="Helvetica" w:cs="Helvetica"/>
          <w:color w:val="002060"/>
        </w:rPr>
        <w:t xml:space="preserve"> </w:t>
      </w:r>
      <w:r w:rsidRPr="004D4CB9">
        <w:rPr>
          <w:rFonts w:ascii="Helvetica" w:hAnsi="Helvetica" w:cs="Helvetica"/>
          <w:b/>
          <w:color w:val="002060"/>
        </w:rPr>
        <w:t>2</w:t>
      </w:r>
      <w:r w:rsidRPr="004D4CB9">
        <w:rPr>
          <w:rFonts w:ascii="Helvetica" w:hAnsi="Helvetica" w:cs="Helvetica"/>
          <w:b/>
          <w:color w:val="002060"/>
          <w:vertAlign w:val="superscript"/>
        </w:rPr>
        <w:t>nd</w:t>
      </w:r>
      <w:r w:rsidRPr="004D4CB9">
        <w:rPr>
          <w:rFonts w:ascii="Helvetica" w:hAnsi="Helvetica" w:cs="Helvetica"/>
          <w:b/>
          <w:color w:val="002060"/>
        </w:rPr>
        <w:t xml:space="preserve"> November 2020</w:t>
      </w:r>
      <w:r w:rsidRPr="004D4CB9">
        <w:rPr>
          <w:rFonts w:ascii="Helvetica" w:hAnsi="Helvetica" w:cs="Helvetica"/>
          <w:color w:val="002060"/>
        </w:rPr>
        <w:t xml:space="preserve"> and followed this up with an e-mail on </w:t>
      </w:r>
      <w:r w:rsidRPr="004D4CB9">
        <w:rPr>
          <w:rFonts w:ascii="Helvetica" w:hAnsi="Helvetica" w:cs="Helvetica"/>
          <w:b/>
          <w:color w:val="002060"/>
        </w:rPr>
        <w:t>3</w:t>
      </w:r>
      <w:r w:rsidRPr="004D4CB9">
        <w:rPr>
          <w:rFonts w:ascii="Helvetica" w:hAnsi="Helvetica" w:cs="Helvetica"/>
          <w:b/>
          <w:color w:val="002060"/>
          <w:vertAlign w:val="superscript"/>
        </w:rPr>
        <w:t>rd</w:t>
      </w:r>
      <w:r w:rsidRPr="004D4CB9">
        <w:rPr>
          <w:rFonts w:ascii="Helvetica" w:hAnsi="Helvetica" w:cs="Helvetica"/>
          <w:b/>
          <w:color w:val="002060"/>
        </w:rPr>
        <w:t xml:space="preserve"> November 2020</w:t>
      </w:r>
      <w:r w:rsidRPr="004D4CB9">
        <w:rPr>
          <w:rFonts w:ascii="Helvetica" w:hAnsi="Helvetica" w:cs="Helvetica"/>
          <w:color w:val="002060"/>
        </w:rPr>
        <w:t>. The complainant was sent the NFA outcome letter on the same day.</w:t>
      </w:r>
    </w:p>
    <w:p w14:paraId="57CD0FB4" w14:textId="06B3774F" w:rsidR="0012026A" w:rsidRPr="004D4CB9" w:rsidRDefault="0012026A" w:rsidP="006843E2">
      <w:pPr>
        <w:pStyle w:val="NoSpacing"/>
        <w:ind w:left="720"/>
        <w:jc w:val="both"/>
        <w:rPr>
          <w:rFonts w:ascii="Helvetica" w:hAnsi="Helvetica" w:cs="Helvetica"/>
          <w:color w:val="002060"/>
        </w:rPr>
      </w:pPr>
    </w:p>
    <w:p w14:paraId="2DF4BE22" w14:textId="619C7BD8" w:rsidR="0012026A" w:rsidRPr="004D4CB9" w:rsidRDefault="004D4CB9" w:rsidP="006843E2">
      <w:pPr>
        <w:pStyle w:val="NoSpacing"/>
        <w:ind w:left="720"/>
        <w:jc w:val="both"/>
        <w:rPr>
          <w:rFonts w:ascii="Helvetica" w:hAnsi="Helvetica" w:cs="Helvetica"/>
          <w:color w:val="002060"/>
        </w:rPr>
      </w:pPr>
      <w:r w:rsidRPr="004D4CB9">
        <w:rPr>
          <w:rFonts w:ascii="Helvetica" w:hAnsi="Helvetica" w:cs="Helvetica"/>
          <w:color w:val="002060"/>
        </w:rPr>
        <w:t>It is our position that s</w:t>
      </w:r>
      <w:r w:rsidR="0012026A" w:rsidRPr="004D4CB9">
        <w:rPr>
          <w:rFonts w:ascii="Helvetica" w:hAnsi="Helvetica" w:cs="Helvetica"/>
          <w:color w:val="002060"/>
        </w:rPr>
        <w:t>ending any additional communication would have been unnecessarily bureaucratic, particularly as it was clear from the inspector’s engagement with the complainant that the complaint had been fully understood</w:t>
      </w:r>
      <w:r w:rsidRPr="004D4CB9">
        <w:rPr>
          <w:rFonts w:ascii="Helvetica" w:hAnsi="Helvetica" w:cs="Helvetica"/>
          <w:color w:val="002060"/>
        </w:rPr>
        <w:t xml:space="preserve"> (</w:t>
      </w:r>
      <w:r w:rsidRPr="004D4CB9">
        <w:rPr>
          <w:rFonts w:ascii="Helvetica" w:hAnsi="Helvetica" w:cs="Helvetica"/>
          <w:i/>
          <w:color w:val="002060"/>
        </w:rPr>
        <w:t>it is positive to note that the inspector separated the complainant’s concerns into 4 specific allegations and addressed them individually in order for the complainant to understand the outcome</w:t>
      </w:r>
      <w:r w:rsidRPr="004D4CB9">
        <w:rPr>
          <w:rFonts w:ascii="Helvetica" w:hAnsi="Helvetica" w:cs="Helvetica"/>
          <w:color w:val="002060"/>
        </w:rPr>
        <w:t>)</w:t>
      </w:r>
      <w:r w:rsidR="0012026A" w:rsidRPr="004D4CB9">
        <w:rPr>
          <w:rFonts w:ascii="Helvetica" w:hAnsi="Helvetica" w:cs="Helvetica"/>
          <w:color w:val="002060"/>
        </w:rPr>
        <w:t>.</w:t>
      </w:r>
      <w:r w:rsidRPr="004D4CB9">
        <w:rPr>
          <w:rFonts w:ascii="Helvetica" w:hAnsi="Helvetica" w:cs="Helvetica"/>
          <w:color w:val="002060"/>
        </w:rPr>
        <w:t xml:space="preserve"> This position is re-affirmed by the by the </w:t>
      </w:r>
      <w:r w:rsidR="003E6EF9">
        <w:rPr>
          <w:rFonts w:ascii="Helvetica" w:hAnsi="Helvetica" w:cs="Helvetica"/>
          <w:color w:val="002060"/>
        </w:rPr>
        <w:t xml:space="preserve">return phone </w:t>
      </w:r>
      <w:r w:rsidRPr="004D4CB9">
        <w:rPr>
          <w:rFonts w:ascii="Helvetica" w:hAnsi="Helvetica" w:cs="Helvetica"/>
          <w:color w:val="002060"/>
        </w:rPr>
        <w:t>call and follow up e-mail from the PSD Complaint and Dissatisfaction Resolution Officer who confirmed with the complainant that their concerns had been recorded.</w:t>
      </w:r>
    </w:p>
    <w:p w14:paraId="1D04D3CC" w14:textId="77777777" w:rsidR="0012026A" w:rsidRPr="004D4CB9" w:rsidRDefault="0012026A" w:rsidP="006843E2">
      <w:pPr>
        <w:pStyle w:val="NoSpacing"/>
        <w:ind w:left="720"/>
        <w:jc w:val="both"/>
        <w:rPr>
          <w:rFonts w:ascii="Helvetica" w:hAnsi="Helvetica" w:cs="Helvetica"/>
          <w:color w:val="002060"/>
        </w:rPr>
      </w:pPr>
    </w:p>
    <w:p w14:paraId="6D9F3476" w14:textId="44741D38" w:rsidR="009D1ED8" w:rsidRPr="004D4CB9" w:rsidRDefault="0012026A" w:rsidP="006843E2">
      <w:pPr>
        <w:pStyle w:val="NoSpacing"/>
        <w:ind w:left="720"/>
        <w:jc w:val="both"/>
        <w:rPr>
          <w:rFonts w:ascii="Helvetica" w:hAnsi="Helvetica" w:cs="Helvetica"/>
          <w:color w:val="002060"/>
        </w:rPr>
      </w:pPr>
      <w:r w:rsidRPr="004D4CB9">
        <w:rPr>
          <w:rFonts w:ascii="Helvetica" w:hAnsi="Helvetica" w:cs="Helvetica"/>
          <w:color w:val="002060"/>
        </w:rPr>
        <w:t>Final</w:t>
      </w:r>
      <w:r w:rsidR="009D1ED8" w:rsidRPr="004D4CB9">
        <w:rPr>
          <w:rFonts w:ascii="Helvetica" w:hAnsi="Helvetica" w:cs="Helvetica"/>
          <w:color w:val="002060"/>
        </w:rPr>
        <w:t xml:space="preserve">ly, it is worth noting that there was no request for a review submitted by the complainant which would indicate that they were satisfied with </w:t>
      </w:r>
      <w:r w:rsidR="004D4CB9" w:rsidRPr="004D4CB9">
        <w:rPr>
          <w:rFonts w:ascii="Helvetica" w:hAnsi="Helvetica" w:cs="Helvetica"/>
          <w:color w:val="002060"/>
        </w:rPr>
        <w:t xml:space="preserve">what had been recorded and </w:t>
      </w:r>
      <w:r w:rsidR="009D1ED8" w:rsidRPr="004D4CB9">
        <w:rPr>
          <w:rFonts w:ascii="Helvetica" w:hAnsi="Helvetica" w:cs="Helvetica"/>
          <w:color w:val="002060"/>
        </w:rPr>
        <w:t>the outcome</w:t>
      </w:r>
      <w:r w:rsidR="00371641" w:rsidRPr="004D4CB9">
        <w:rPr>
          <w:rFonts w:ascii="Helvetica" w:hAnsi="Helvetica" w:cs="Helvetica"/>
          <w:color w:val="002060"/>
        </w:rPr>
        <w:t xml:space="preserve"> once </w:t>
      </w:r>
      <w:r w:rsidRPr="004D4CB9">
        <w:rPr>
          <w:rFonts w:ascii="Helvetica" w:hAnsi="Helvetica" w:cs="Helvetica"/>
          <w:color w:val="002060"/>
        </w:rPr>
        <w:t xml:space="preserve">it was </w:t>
      </w:r>
      <w:r w:rsidR="00371641" w:rsidRPr="004D4CB9">
        <w:rPr>
          <w:rFonts w:ascii="Helvetica" w:hAnsi="Helvetica" w:cs="Helvetica"/>
          <w:color w:val="002060"/>
        </w:rPr>
        <w:t xml:space="preserve">presented </w:t>
      </w:r>
      <w:r w:rsidRPr="004D4CB9">
        <w:rPr>
          <w:rFonts w:ascii="Helvetica" w:hAnsi="Helvetica" w:cs="Helvetica"/>
          <w:color w:val="002060"/>
        </w:rPr>
        <w:t xml:space="preserve">formally and </w:t>
      </w:r>
      <w:r w:rsidR="00371641" w:rsidRPr="004D4CB9">
        <w:rPr>
          <w:rFonts w:ascii="Helvetica" w:hAnsi="Helvetica" w:cs="Helvetica"/>
          <w:color w:val="002060"/>
        </w:rPr>
        <w:t>in writing by PSD</w:t>
      </w:r>
      <w:r w:rsidR="009D1ED8" w:rsidRPr="004D4CB9">
        <w:rPr>
          <w:rFonts w:ascii="Helvetica" w:hAnsi="Helvetica" w:cs="Helvetica"/>
          <w:color w:val="002060"/>
        </w:rPr>
        <w:t xml:space="preserve">, or at least </w:t>
      </w:r>
      <w:r w:rsidR="00371641" w:rsidRPr="004D4CB9">
        <w:rPr>
          <w:rFonts w:ascii="Helvetica" w:hAnsi="Helvetica" w:cs="Helvetica"/>
          <w:color w:val="002060"/>
        </w:rPr>
        <w:t>they</w:t>
      </w:r>
      <w:r w:rsidR="004D4CB9" w:rsidRPr="004D4CB9">
        <w:rPr>
          <w:rFonts w:ascii="Helvetica" w:hAnsi="Helvetica" w:cs="Helvetica"/>
          <w:color w:val="002060"/>
        </w:rPr>
        <w:t xml:space="preserve"> accepted the position</w:t>
      </w:r>
      <w:r w:rsidR="00371641" w:rsidRPr="004D4CB9">
        <w:rPr>
          <w:rFonts w:ascii="Helvetica" w:hAnsi="Helvetica" w:cs="Helvetica"/>
          <w:color w:val="002060"/>
        </w:rPr>
        <w:t xml:space="preserve"> and </w:t>
      </w:r>
      <w:r w:rsidR="009D1ED8" w:rsidRPr="004D4CB9">
        <w:rPr>
          <w:rFonts w:ascii="Helvetica" w:hAnsi="Helvetica" w:cs="Helvetica"/>
          <w:color w:val="002060"/>
        </w:rPr>
        <w:t>saw no merit in challenging it.</w:t>
      </w:r>
    </w:p>
    <w:p w14:paraId="0143D22B" w14:textId="691E2143" w:rsidR="00172DC6" w:rsidRPr="004D4CB9" w:rsidRDefault="00172DC6" w:rsidP="00337958">
      <w:pPr>
        <w:pStyle w:val="NoSpacing"/>
        <w:rPr>
          <w:rFonts w:ascii="Helvetica" w:hAnsi="Helvetica" w:cs="Helvetica"/>
          <w:color w:val="002060"/>
        </w:rPr>
      </w:pPr>
    </w:p>
    <w:p w14:paraId="3DD5B9A3" w14:textId="7D044E1F" w:rsidR="00337958" w:rsidRPr="004D4CB9" w:rsidRDefault="00337958" w:rsidP="00172DC6">
      <w:pPr>
        <w:pStyle w:val="NoSpacing"/>
        <w:ind w:firstLine="720"/>
        <w:rPr>
          <w:rFonts w:ascii="Helvetica" w:hAnsi="Helvetica" w:cs="Helvetica"/>
          <w:b/>
          <w:color w:val="002060"/>
        </w:rPr>
      </w:pPr>
      <w:r w:rsidRPr="004D4CB9">
        <w:rPr>
          <w:rFonts w:ascii="Helvetica" w:hAnsi="Helvetica" w:cs="Helvetica"/>
          <w:b/>
          <w:color w:val="002060"/>
        </w:rPr>
        <w:t>Gavin Lemon (PSD Senior Manager)</w:t>
      </w:r>
    </w:p>
    <w:p w14:paraId="293608F4" w14:textId="0858DBC8" w:rsidR="00172DC6" w:rsidRPr="004D4CB9" w:rsidRDefault="009D1ED8" w:rsidP="00172DC6">
      <w:pPr>
        <w:pStyle w:val="NoSpacing"/>
        <w:ind w:firstLine="720"/>
        <w:rPr>
          <w:rFonts w:ascii="Helvetica" w:hAnsi="Helvetica" w:cs="Helvetica"/>
          <w:b/>
          <w:color w:val="002060"/>
        </w:rPr>
      </w:pPr>
      <w:r w:rsidRPr="004D4CB9">
        <w:rPr>
          <w:rFonts w:ascii="Helvetica" w:hAnsi="Helvetica" w:cs="Helvetica"/>
          <w:b/>
          <w:color w:val="002060"/>
        </w:rPr>
        <w:t>30</w:t>
      </w:r>
      <w:r w:rsidR="00172DC6" w:rsidRPr="004D4CB9">
        <w:rPr>
          <w:rFonts w:ascii="Helvetica" w:hAnsi="Helvetica" w:cs="Helvetica"/>
          <w:b/>
          <w:color w:val="002060"/>
        </w:rPr>
        <w:t>.3.21</w:t>
      </w:r>
    </w:p>
    <w:p w14:paraId="1AFE804E" w14:textId="77777777" w:rsidR="00337958" w:rsidRPr="00365465" w:rsidRDefault="00337958" w:rsidP="00337958">
      <w:pPr>
        <w:pStyle w:val="NoSpacing"/>
        <w:rPr>
          <w:rFonts w:ascii="Helvetica" w:hAnsi="Helvetica" w:cs="Helvetica"/>
        </w:rPr>
      </w:pPr>
    </w:p>
    <w:p w14:paraId="0086EE16" w14:textId="0B71632B" w:rsidR="00146A94" w:rsidRPr="00A12C3F" w:rsidRDefault="00146A94" w:rsidP="00146A94">
      <w:pPr>
        <w:pStyle w:val="NoSpacing"/>
        <w:ind w:left="720"/>
        <w:rPr>
          <w:rFonts w:ascii="Helvetica" w:hAnsi="Helvetica" w:cs="Helvetica"/>
        </w:rPr>
      </w:pPr>
    </w:p>
    <w:sectPr w:rsidR="00146A94" w:rsidRPr="00A12C3F" w:rsidSect="00F943D8">
      <w:headerReference w:type="default" r:id="rId15"/>
      <w:footerReference w:type="default" r:id="rId16"/>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4988" w14:textId="77777777" w:rsidR="00C339C6" w:rsidRDefault="00C339C6" w:rsidP="00581215">
      <w:pPr>
        <w:spacing w:after="0" w:line="240" w:lineRule="auto"/>
      </w:pPr>
      <w:r>
        <w:separator/>
      </w:r>
    </w:p>
  </w:endnote>
  <w:endnote w:type="continuationSeparator" w:id="0">
    <w:p w14:paraId="43E7134D" w14:textId="77777777" w:rsidR="00C339C6" w:rsidRDefault="00C339C6" w:rsidP="00581215">
      <w:pPr>
        <w:spacing w:after="0" w:line="240" w:lineRule="auto"/>
      </w:pPr>
      <w:r>
        <w:continuationSeparator/>
      </w:r>
    </w:p>
  </w:endnote>
  <w:endnote w:type="continuationNotice" w:id="1">
    <w:p w14:paraId="275748F0" w14:textId="77777777" w:rsidR="00C339C6" w:rsidRDefault="00C33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AD3D5E" w:rsidRPr="00797A05" w14:paraId="11AA1544" w14:textId="77777777" w:rsidTr="00797A05">
      <w:trPr>
        <w:trHeight w:val="343"/>
        <w:jc w:val="center"/>
      </w:trPr>
      <w:tc>
        <w:tcPr>
          <w:tcW w:w="4500" w:type="pct"/>
          <w:tcBorders>
            <w:top w:val="single" w:sz="4" w:space="0" w:color="000000"/>
          </w:tcBorders>
        </w:tcPr>
        <w:p w14:paraId="64C4DC1C" w14:textId="77777777" w:rsidR="00AD3D5E" w:rsidRPr="00797A05" w:rsidRDefault="00AD3D5E"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6F3CFC5B" w14:textId="36EAC7A9" w:rsidR="00AD3D5E" w:rsidRPr="00797A05" w:rsidRDefault="00AD3D5E" w:rsidP="003B3E67">
          <w:pPr>
            <w:pStyle w:val="Header"/>
            <w:rPr>
              <w:rFonts w:ascii="Arial" w:hAnsi="Arial" w:cs="Arial"/>
              <w:color w:val="FFFFFF"/>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35B63">
            <w:rPr>
              <w:rFonts w:ascii="Arial" w:hAnsi="Arial" w:cs="Arial"/>
              <w:noProof/>
              <w:sz w:val="18"/>
              <w:szCs w:val="18"/>
            </w:rPr>
            <w:t>2</w:t>
          </w:r>
          <w:r>
            <w:rPr>
              <w:rFonts w:ascii="Arial" w:hAnsi="Arial" w:cs="Arial"/>
              <w:sz w:val="18"/>
              <w:szCs w:val="18"/>
            </w:rPr>
            <w:fldChar w:fldCharType="end"/>
          </w:r>
        </w:p>
      </w:tc>
    </w:tr>
  </w:tbl>
  <w:p w14:paraId="44FE7BE3" w14:textId="77777777" w:rsidR="00AD3D5E" w:rsidRDefault="00AD3D5E" w:rsidP="00BC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30AA" w14:textId="77777777" w:rsidR="00C339C6" w:rsidRDefault="00C339C6" w:rsidP="00581215">
      <w:pPr>
        <w:spacing w:after="0" w:line="240" w:lineRule="auto"/>
      </w:pPr>
      <w:r>
        <w:separator/>
      </w:r>
    </w:p>
  </w:footnote>
  <w:footnote w:type="continuationSeparator" w:id="0">
    <w:p w14:paraId="5C0CEC2E" w14:textId="77777777" w:rsidR="00C339C6" w:rsidRDefault="00C339C6" w:rsidP="00581215">
      <w:pPr>
        <w:spacing w:after="0" w:line="240" w:lineRule="auto"/>
      </w:pPr>
      <w:r>
        <w:continuationSeparator/>
      </w:r>
    </w:p>
  </w:footnote>
  <w:footnote w:type="continuationNotice" w:id="1">
    <w:p w14:paraId="4863F109" w14:textId="77777777" w:rsidR="00C339C6" w:rsidRDefault="00C33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128310FA" w14:textId="77777777" w:rsidTr="00797A05">
      <w:trPr>
        <w:trHeight w:val="489"/>
      </w:trPr>
      <w:tc>
        <w:tcPr>
          <w:tcW w:w="1500" w:type="pct"/>
          <w:tcBorders>
            <w:bottom w:val="single" w:sz="4" w:space="0" w:color="943634"/>
          </w:tcBorders>
          <w:shd w:val="clear" w:color="auto" w:fill="548DD4"/>
          <w:vAlign w:val="bottom"/>
        </w:tcPr>
        <w:p w14:paraId="5ABB0DF4" w14:textId="34E08545" w:rsidR="00AD3D5E" w:rsidRPr="00797A05" w:rsidRDefault="00F37BCE" w:rsidP="00765912">
          <w:pPr>
            <w:pStyle w:val="Header"/>
            <w:jc w:val="right"/>
            <w:rPr>
              <w:color w:val="FFFFFF"/>
            </w:rPr>
          </w:pPr>
          <w:r>
            <w:rPr>
              <w:color w:val="FFFFFF"/>
            </w:rPr>
            <w:t>March 2021</w:t>
          </w:r>
        </w:p>
      </w:tc>
      <w:tc>
        <w:tcPr>
          <w:tcW w:w="3500" w:type="pct"/>
          <w:tcBorders>
            <w:bottom w:val="single" w:sz="4" w:space="0" w:color="auto"/>
          </w:tcBorders>
          <w:vAlign w:val="bottom"/>
        </w:tcPr>
        <w:p w14:paraId="551339BB" w14:textId="77777777" w:rsidR="00AD3D5E" w:rsidRDefault="00AD3D5E" w:rsidP="006F7F0F">
          <w:pPr>
            <w:pStyle w:val="Header"/>
            <w:rPr>
              <w:rFonts w:cs="Arial"/>
              <w:b/>
              <w:bCs/>
              <w:caps/>
              <w:sz w:val="20"/>
            </w:rPr>
          </w:pPr>
          <w:r>
            <w:rPr>
              <w:noProof/>
              <w:lang w:eastAsia="en-GB"/>
            </w:rPr>
            <w:drawing>
              <wp:anchor distT="0" distB="0" distL="114300" distR="114300" simplePos="0" relativeHeight="251657216" behindDoc="1" locked="0" layoutInCell="1" allowOverlap="1" wp14:anchorId="5B24EC6E" wp14:editId="328F195E">
                <wp:simplePos x="0" y="0"/>
                <wp:positionH relativeFrom="column">
                  <wp:posOffset>2628265</wp:posOffset>
                </wp:positionH>
                <wp:positionV relativeFrom="paragraph">
                  <wp:posOffset>-290830</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AB0F2" w14:textId="77777777" w:rsidR="00AD3D5E" w:rsidRPr="00797A05" w:rsidRDefault="00AD3D5E" w:rsidP="006F7F0F">
          <w:pPr>
            <w:pStyle w:val="Header"/>
            <w:rPr>
              <w:rFonts w:cs="Arial"/>
              <w:b/>
              <w:bCs/>
              <w:caps/>
              <w:sz w:val="20"/>
            </w:rPr>
          </w:pPr>
        </w:p>
      </w:tc>
    </w:tr>
  </w:tbl>
  <w:p w14:paraId="492F1139" w14:textId="77777777" w:rsidR="00AD3D5E" w:rsidRDefault="00AD3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08"/>
      <w:gridCol w:w="6318"/>
    </w:tblGrid>
    <w:tr w:rsidR="00AD3D5E" w:rsidRPr="00797A05" w14:paraId="4224A9A8" w14:textId="77777777" w:rsidTr="00797A05">
      <w:trPr>
        <w:trHeight w:val="489"/>
      </w:trPr>
      <w:tc>
        <w:tcPr>
          <w:tcW w:w="1500" w:type="pct"/>
          <w:tcBorders>
            <w:bottom w:val="single" w:sz="4" w:space="0" w:color="943634"/>
          </w:tcBorders>
          <w:shd w:val="clear" w:color="auto" w:fill="548DD4"/>
          <w:vAlign w:val="bottom"/>
        </w:tcPr>
        <w:p w14:paraId="055FC118" w14:textId="49260C83" w:rsidR="00AD3D5E" w:rsidRPr="00797A05" w:rsidRDefault="00F37BCE" w:rsidP="00CC0FC5">
          <w:pPr>
            <w:pStyle w:val="Header"/>
            <w:rPr>
              <w:color w:val="FFFFFF"/>
            </w:rPr>
          </w:pPr>
          <w:r>
            <w:rPr>
              <w:color w:val="FFFFFF"/>
            </w:rPr>
            <w:t>March 2021</w:t>
          </w:r>
        </w:p>
      </w:tc>
      <w:tc>
        <w:tcPr>
          <w:tcW w:w="3500" w:type="pct"/>
          <w:tcBorders>
            <w:bottom w:val="single" w:sz="4" w:space="0" w:color="auto"/>
          </w:tcBorders>
          <w:vAlign w:val="bottom"/>
        </w:tcPr>
        <w:p w14:paraId="457F5D22" w14:textId="77777777" w:rsidR="00AD3D5E" w:rsidRPr="00797A05" w:rsidRDefault="00AD3D5E" w:rsidP="006F7F0F">
          <w:pPr>
            <w:pStyle w:val="Header"/>
            <w:rPr>
              <w:rFonts w:cs="Arial"/>
              <w:b/>
              <w:bCs/>
              <w:caps/>
              <w:sz w:val="20"/>
            </w:rPr>
          </w:pPr>
          <w:r>
            <w:rPr>
              <w:noProof/>
              <w:lang w:eastAsia="en-GB"/>
            </w:rPr>
            <w:drawing>
              <wp:anchor distT="0" distB="0" distL="114300" distR="114300" simplePos="0" relativeHeight="251659264" behindDoc="1" locked="0" layoutInCell="1" allowOverlap="1" wp14:anchorId="36CD0A15" wp14:editId="7308A6C9">
                <wp:simplePos x="0" y="0"/>
                <wp:positionH relativeFrom="column">
                  <wp:posOffset>4932045</wp:posOffset>
                </wp:positionH>
                <wp:positionV relativeFrom="paragraph">
                  <wp:posOffset>-293370</wp:posOffset>
                </wp:positionV>
                <wp:extent cx="1300480" cy="65468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38D76BD" w14:textId="77777777" w:rsidR="00AD3D5E" w:rsidRDefault="00AD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FD0AEA"/>
    <w:multiLevelType w:val="hybridMultilevel"/>
    <w:tmpl w:val="CC8FAD6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F5617"/>
    <w:multiLevelType w:val="hybridMultilevel"/>
    <w:tmpl w:val="65CEF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E099B"/>
    <w:multiLevelType w:val="hybridMultilevel"/>
    <w:tmpl w:val="BB9031B6"/>
    <w:lvl w:ilvl="0" w:tplc="54640C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B6581B"/>
    <w:multiLevelType w:val="hybridMultilevel"/>
    <w:tmpl w:val="D6C24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80E4332">
      <w:numFmt w:val="bullet"/>
      <w:lvlText w:val="•"/>
      <w:lvlJc w:val="left"/>
      <w:pPr>
        <w:ind w:left="2055" w:hanging="255"/>
      </w:pPr>
      <w:rPr>
        <w:rFonts w:ascii="HelveticaNeueLT Std" w:eastAsia="Times New Roman" w:hAnsi="HelveticaNeueLT Std" w:cs="HelveticaNeueLT Std"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510F"/>
    <w:multiLevelType w:val="hybridMultilevel"/>
    <w:tmpl w:val="F6722C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4A38E4"/>
    <w:multiLevelType w:val="hybridMultilevel"/>
    <w:tmpl w:val="8EE6B7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673F66"/>
    <w:multiLevelType w:val="hybridMultilevel"/>
    <w:tmpl w:val="CE004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C619B"/>
    <w:multiLevelType w:val="hybridMultilevel"/>
    <w:tmpl w:val="82C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C971E4"/>
    <w:multiLevelType w:val="hybridMultilevel"/>
    <w:tmpl w:val="FC0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C292A"/>
    <w:multiLevelType w:val="hybridMultilevel"/>
    <w:tmpl w:val="CB8C6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260D81"/>
    <w:multiLevelType w:val="hybridMultilevel"/>
    <w:tmpl w:val="6A6061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664F48"/>
    <w:multiLevelType w:val="hybridMultilevel"/>
    <w:tmpl w:val="6E8456BA"/>
    <w:lvl w:ilvl="0" w:tplc="93FCC7D8">
      <w:start w:val="1"/>
      <w:numFmt w:val="bullet"/>
      <w:lvlText w:val=""/>
      <w:lvlJc w:val="left"/>
      <w:pPr>
        <w:ind w:left="1080" w:hanging="360"/>
      </w:pPr>
      <w:rPr>
        <w:rFonts w:ascii="Wingdings" w:hAnsi="Wingdings" w:hint="default"/>
        <w:b w:val="0"/>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EA25E1"/>
    <w:multiLevelType w:val="hybridMultilevel"/>
    <w:tmpl w:val="A6FEF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533092"/>
    <w:multiLevelType w:val="hybridMultilevel"/>
    <w:tmpl w:val="B73A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B72A5"/>
    <w:multiLevelType w:val="hybridMultilevel"/>
    <w:tmpl w:val="DBFAB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517FF3"/>
    <w:multiLevelType w:val="hybridMultilevel"/>
    <w:tmpl w:val="9F2CC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47720A"/>
    <w:multiLevelType w:val="multilevel"/>
    <w:tmpl w:val="7E98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DF1DD"/>
    <w:multiLevelType w:val="hybridMultilevel"/>
    <w:tmpl w:val="77315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CF43AC"/>
    <w:multiLevelType w:val="hybridMultilevel"/>
    <w:tmpl w:val="BB8681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1B6736"/>
    <w:multiLevelType w:val="hybridMultilevel"/>
    <w:tmpl w:val="7D34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6123B"/>
    <w:multiLevelType w:val="multilevel"/>
    <w:tmpl w:val="392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60EE2"/>
    <w:multiLevelType w:val="hybridMultilevel"/>
    <w:tmpl w:val="60C4B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EC2401"/>
    <w:multiLevelType w:val="hybridMultilevel"/>
    <w:tmpl w:val="C40E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C7A41"/>
    <w:multiLevelType w:val="hybridMultilevel"/>
    <w:tmpl w:val="D4DEF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D1769"/>
    <w:multiLevelType w:val="hybridMultilevel"/>
    <w:tmpl w:val="504A7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4B7CBB"/>
    <w:multiLevelType w:val="hybridMultilevel"/>
    <w:tmpl w:val="76DC5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965FE3"/>
    <w:multiLevelType w:val="hybridMultilevel"/>
    <w:tmpl w:val="B9CE8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02834D2"/>
    <w:multiLevelType w:val="hybridMultilevel"/>
    <w:tmpl w:val="4D1216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9A0898"/>
    <w:multiLevelType w:val="hybridMultilevel"/>
    <w:tmpl w:val="D6341B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7D2859"/>
    <w:multiLevelType w:val="hybridMultilevel"/>
    <w:tmpl w:val="D2E2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D03A5"/>
    <w:multiLevelType w:val="hybridMultilevel"/>
    <w:tmpl w:val="E648FB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0077A"/>
    <w:multiLevelType w:val="multilevel"/>
    <w:tmpl w:val="1A4E9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EDA471E"/>
    <w:multiLevelType w:val="multilevel"/>
    <w:tmpl w:val="347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52952"/>
    <w:multiLevelType w:val="hybridMultilevel"/>
    <w:tmpl w:val="63BA6F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29"/>
  </w:num>
  <w:num w:numId="4">
    <w:abstractNumId w:val="19"/>
  </w:num>
  <w:num w:numId="5">
    <w:abstractNumId w:val="5"/>
  </w:num>
  <w:num w:numId="6">
    <w:abstractNumId w:val="30"/>
  </w:num>
  <w:num w:numId="7">
    <w:abstractNumId w:val="15"/>
  </w:num>
  <w:num w:numId="8">
    <w:abstractNumId w:val="22"/>
  </w:num>
  <w:num w:numId="9">
    <w:abstractNumId w:val="16"/>
  </w:num>
  <w:num w:numId="10">
    <w:abstractNumId w:val="20"/>
  </w:num>
  <w:num w:numId="11">
    <w:abstractNumId w:val="31"/>
  </w:num>
  <w:num w:numId="12">
    <w:abstractNumId w:val="32"/>
  </w:num>
  <w:num w:numId="13">
    <w:abstractNumId w:val="17"/>
  </w:num>
  <w:num w:numId="14">
    <w:abstractNumId w:val="14"/>
  </w:num>
  <w:num w:numId="15">
    <w:abstractNumId w:val="9"/>
  </w:num>
  <w:num w:numId="16">
    <w:abstractNumId w:val="27"/>
  </w:num>
  <w:num w:numId="17">
    <w:abstractNumId w:val="4"/>
  </w:num>
  <w:num w:numId="18">
    <w:abstractNumId w:val="28"/>
  </w:num>
  <w:num w:numId="19">
    <w:abstractNumId w:val="11"/>
  </w:num>
  <w:num w:numId="20">
    <w:abstractNumId w:val="2"/>
  </w:num>
  <w:num w:numId="21">
    <w:abstractNumId w:val="7"/>
  </w:num>
  <w:num w:numId="22">
    <w:abstractNumId w:val="10"/>
  </w:num>
  <w:num w:numId="23">
    <w:abstractNumId w:val="0"/>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3"/>
  </w:num>
  <w:num w:numId="28">
    <w:abstractNumId w:val="8"/>
  </w:num>
  <w:num w:numId="29">
    <w:abstractNumId w:val="12"/>
  </w:num>
  <w:num w:numId="30">
    <w:abstractNumId w:val="3"/>
  </w:num>
  <w:num w:numId="31">
    <w:abstractNumId w:val="24"/>
  </w:num>
  <w:num w:numId="32">
    <w:abstractNumId w:val="1"/>
  </w:num>
  <w:num w:numId="33">
    <w:abstractNumId w:val="1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C6"/>
    <w:rsid w:val="000016E2"/>
    <w:rsid w:val="00001FA9"/>
    <w:rsid w:val="00004E33"/>
    <w:rsid w:val="000072DB"/>
    <w:rsid w:val="00011B18"/>
    <w:rsid w:val="0001371D"/>
    <w:rsid w:val="000138BB"/>
    <w:rsid w:val="00014AC8"/>
    <w:rsid w:val="00020A6E"/>
    <w:rsid w:val="00020B05"/>
    <w:rsid w:val="000219CB"/>
    <w:rsid w:val="000222D7"/>
    <w:rsid w:val="000273ED"/>
    <w:rsid w:val="0003033A"/>
    <w:rsid w:val="000310A0"/>
    <w:rsid w:val="00032248"/>
    <w:rsid w:val="00033F58"/>
    <w:rsid w:val="00035924"/>
    <w:rsid w:val="00035D9C"/>
    <w:rsid w:val="000366C3"/>
    <w:rsid w:val="00037130"/>
    <w:rsid w:val="00037BCC"/>
    <w:rsid w:val="00043491"/>
    <w:rsid w:val="00046511"/>
    <w:rsid w:val="000465FE"/>
    <w:rsid w:val="00047777"/>
    <w:rsid w:val="000478DF"/>
    <w:rsid w:val="00047FE6"/>
    <w:rsid w:val="00050ED9"/>
    <w:rsid w:val="00052D9D"/>
    <w:rsid w:val="00054B0B"/>
    <w:rsid w:val="00054C20"/>
    <w:rsid w:val="00055F83"/>
    <w:rsid w:val="000606F6"/>
    <w:rsid w:val="00061762"/>
    <w:rsid w:val="00065632"/>
    <w:rsid w:val="00065CCB"/>
    <w:rsid w:val="00070907"/>
    <w:rsid w:val="00071025"/>
    <w:rsid w:val="00071375"/>
    <w:rsid w:val="000713A2"/>
    <w:rsid w:val="0007439E"/>
    <w:rsid w:val="00074902"/>
    <w:rsid w:val="00076AF2"/>
    <w:rsid w:val="00077266"/>
    <w:rsid w:val="00080ADE"/>
    <w:rsid w:val="0008261A"/>
    <w:rsid w:val="00083B97"/>
    <w:rsid w:val="00085276"/>
    <w:rsid w:val="0008610F"/>
    <w:rsid w:val="000868F4"/>
    <w:rsid w:val="00087133"/>
    <w:rsid w:val="00087C9B"/>
    <w:rsid w:val="0009151C"/>
    <w:rsid w:val="000926B2"/>
    <w:rsid w:val="0009760D"/>
    <w:rsid w:val="000A1FCF"/>
    <w:rsid w:val="000A3BFA"/>
    <w:rsid w:val="000A436D"/>
    <w:rsid w:val="000B0D69"/>
    <w:rsid w:val="000B1369"/>
    <w:rsid w:val="000B2562"/>
    <w:rsid w:val="000B2744"/>
    <w:rsid w:val="000B7567"/>
    <w:rsid w:val="000B768E"/>
    <w:rsid w:val="000B7BC7"/>
    <w:rsid w:val="000C2EE1"/>
    <w:rsid w:val="000C67B8"/>
    <w:rsid w:val="000D02E5"/>
    <w:rsid w:val="000D15DF"/>
    <w:rsid w:val="000D1FE5"/>
    <w:rsid w:val="000D3A36"/>
    <w:rsid w:val="000D4BEF"/>
    <w:rsid w:val="000D5FBA"/>
    <w:rsid w:val="000D6ECD"/>
    <w:rsid w:val="000E3A09"/>
    <w:rsid w:val="000E54A9"/>
    <w:rsid w:val="000E791A"/>
    <w:rsid w:val="000F0C17"/>
    <w:rsid w:val="000F1BA0"/>
    <w:rsid w:val="000F1FAC"/>
    <w:rsid w:val="000F2A62"/>
    <w:rsid w:val="000F2C6C"/>
    <w:rsid w:val="000F66FE"/>
    <w:rsid w:val="000F6E26"/>
    <w:rsid w:val="000F7005"/>
    <w:rsid w:val="000F7272"/>
    <w:rsid w:val="000F73BB"/>
    <w:rsid w:val="0010178E"/>
    <w:rsid w:val="001025C6"/>
    <w:rsid w:val="001031CD"/>
    <w:rsid w:val="00103EEA"/>
    <w:rsid w:val="001066D1"/>
    <w:rsid w:val="00106FE7"/>
    <w:rsid w:val="00111972"/>
    <w:rsid w:val="00111FB4"/>
    <w:rsid w:val="001136B2"/>
    <w:rsid w:val="00116BF7"/>
    <w:rsid w:val="001176F1"/>
    <w:rsid w:val="0012026A"/>
    <w:rsid w:val="00121F85"/>
    <w:rsid w:val="00131387"/>
    <w:rsid w:val="00131E9C"/>
    <w:rsid w:val="00133C2C"/>
    <w:rsid w:val="00134DDB"/>
    <w:rsid w:val="001355EE"/>
    <w:rsid w:val="00136D5F"/>
    <w:rsid w:val="0013721A"/>
    <w:rsid w:val="0014237A"/>
    <w:rsid w:val="00143CC9"/>
    <w:rsid w:val="00146A94"/>
    <w:rsid w:val="00147143"/>
    <w:rsid w:val="00151E2E"/>
    <w:rsid w:val="00153360"/>
    <w:rsid w:val="001539E0"/>
    <w:rsid w:val="00153CD6"/>
    <w:rsid w:val="00156037"/>
    <w:rsid w:val="00161B09"/>
    <w:rsid w:val="00161B2D"/>
    <w:rsid w:val="001620BA"/>
    <w:rsid w:val="0016228D"/>
    <w:rsid w:val="00163002"/>
    <w:rsid w:val="0016399A"/>
    <w:rsid w:val="00163D96"/>
    <w:rsid w:val="001640D1"/>
    <w:rsid w:val="0016575C"/>
    <w:rsid w:val="00166199"/>
    <w:rsid w:val="00166BD1"/>
    <w:rsid w:val="001672E6"/>
    <w:rsid w:val="001678D8"/>
    <w:rsid w:val="00167EC3"/>
    <w:rsid w:val="00170621"/>
    <w:rsid w:val="00170979"/>
    <w:rsid w:val="00172DC6"/>
    <w:rsid w:val="00173C2F"/>
    <w:rsid w:val="00174288"/>
    <w:rsid w:val="0017488A"/>
    <w:rsid w:val="00176A34"/>
    <w:rsid w:val="001773E1"/>
    <w:rsid w:val="00182DD5"/>
    <w:rsid w:val="00186420"/>
    <w:rsid w:val="001907B4"/>
    <w:rsid w:val="0019204C"/>
    <w:rsid w:val="00192247"/>
    <w:rsid w:val="00192D8C"/>
    <w:rsid w:val="00193471"/>
    <w:rsid w:val="0019633E"/>
    <w:rsid w:val="00196801"/>
    <w:rsid w:val="001A03EF"/>
    <w:rsid w:val="001A1A41"/>
    <w:rsid w:val="001A2943"/>
    <w:rsid w:val="001A3745"/>
    <w:rsid w:val="001A4A6D"/>
    <w:rsid w:val="001B07BF"/>
    <w:rsid w:val="001B07FC"/>
    <w:rsid w:val="001B1817"/>
    <w:rsid w:val="001B380A"/>
    <w:rsid w:val="001B55FF"/>
    <w:rsid w:val="001B6F40"/>
    <w:rsid w:val="001B7A3C"/>
    <w:rsid w:val="001B7EA5"/>
    <w:rsid w:val="001C241E"/>
    <w:rsid w:val="001C576C"/>
    <w:rsid w:val="001C6C8D"/>
    <w:rsid w:val="001D0D55"/>
    <w:rsid w:val="001D12B5"/>
    <w:rsid w:val="001D1611"/>
    <w:rsid w:val="001D2257"/>
    <w:rsid w:val="001D4109"/>
    <w:rsid w:val="001D5EED"/>
    <w:rsid w:val="001D74CC"/>
    <w:rsid w:val="001E293C"/>
    <w:rsid w:val="001E503C"/>
    <w:rsid w:val="001E68D3"/>
    <w:rsid w:val="001E79F4"/>
    <w:rsid w:val="001F163E"/>
    <w:rsid w:val="001F2F7A"/>
    <w:rsid w:val="001F3D3C"/>
    <w:rsid w:val="001F656C"/>
    <w:rsid w:val="001F69D6"/>
    <w:rsid w:val="0020006A"/>
    <w:rsid w:val="002005B0"/>
    <w:rsid w:val="0020131A"/>
    <w:rsid w:val="002045C0"/>
    <w:rsid w:val="00204C2D"/>
    <w:rsid w:val="0020516E"/>
    <w:rsid w:val="002078A7"/>
    <w:rsid w:val="00207BD7"/>
    <w:rsid w:val="00213C66"/>
    <w:rsid w:val="00213CF8"/>
    <w:rsid w:val="00213E3A"/>
    <w:rsid w:val="002175EB"/>
    <w:rsid w:val="00217777"/>
    <w:rsid w:val="002179CF"/>
    <w:rsid w:val="0022063A"/>
    <w:rsid w:val="00225198"/>
    <w:rsid w:val="00225E35"/>
    <w:rsid w:val="0022786C"/>
    <w:rsid w:val="00230856"/>
    <w:rsid w:val="002309FD"/>
    <w:rsid w:val="00230FDC"/>
    <w:rsid w:val="00231D1B"/>
    <w:rsid w:val="00233461"/>
    <w:rsid w:val="002368B5"/>
    <w:rsid w:val="00240D5D"/>
    <w:rsid w:val="00241683"/>
    <w:rsid w:val="00241C16"/>
    <w:rsid w:val="002433DA"/>
    <w:rsid w:val="00244350"/>
    <w:rsid w:val="00245A36"/>
    <w:rsid w:val="00246E94"/>
    <w:rsid w:val="002478C5"/>
    <w:rsid w:val="002507C3"/>
    <w:rsid w:val="0025183C"/>
    <w:rsid w:val="00253B7D"/>
    <w:rsid w:val="00254A32"/>
    <w:rsid w:val="00256000"/>
    <w:rsid w:val="00256F19"/>
    <w:rsid w:val="00262701"/>
    <w:rsid w:val="002656E3"/>
    <w:rsid w:val="0026599F"/>
    <w:rsid w:val="002665E8"/>
    <w:rsid w:val="00266D30"/>
    <w:rsid w:val="00270805"/>
    <w:rsid w:val="002708CC"/>
    <w:rsid w:val="00272089"/>
    <w:rsid w:val="00272219"/>
    <w:rsid w:val="00272502"/>
    <w:rsid w:val="00273A11"/>
    <w:rsid w:val="00277011"/>
    <w:rsid w:val="002832DC"/>
    <w:rsid w:val="00284C25"/>
    <w:rsid w:val="002864BA"/>
    <w:rsid w:val="0028786C"/>
    <w:rsid w:val="00290D70"/>
    <w:rsid w:val="00290E63"/>
    <w:rsid w:val="002917F9"/>
    <w:rsid w:val="00293469"/>
    <w:rsid w:val="00294FE6"/>
    <w:rsid w:val="00295A2C"/>
    <w:rsid w:val="00296C85"/>
    <w:rsid w:val="002A1084"/>
    <w:rsid w:val="002A2877"/>
    <w:rsid w:val="002A31EC"/>
    <w:rsid w:val="002B1472"/>
    <w:rsid w:val="002B31E3"/>
    <w:rsid w:val="002B33CF"/>
    <w:rsid w:val="002B5573"/>
    <w:rsid w:val="002B6CC6"/>
    <w:rsid w:val="002B7B64"/>
    <w:rsid w:val="002C0574"/>
    <w:rsid w:val="002C38D8"/>
    <w:rsid w:val="002C4784"/>
    <w:rsid w:val="002C51C9"/>
    <w:rsid w:val="002C7B86"/>
    <w:rsid w:val="002D1598"/>
    <w:rsid w:val="002D2CCC"/>
    <w:rsid w:val="002D530D"/>
    <w:rsid w:val="002D560D"/>
    <w:rsid w:val="002E1A84"/>
    <w:rsid w:val="002E1BF0"/>
    <w:rsid w:val="002E2A6B"/>
    <w:rsid w:val="002E2E85"/>
    <w:rsid w:val="002E305A"/>
    <w:rsid w:val="002E30BC"/>
    <w:rsid w:val="002E4955"/>
    <w:rsid w:val="002F0709"/>
    <w:rsid w:val="002F14B8"/>
    <w:rsid w:val="002F1FE5"/>
    <w:rsid w:val="002F46B4"/>
    <w:rsid w:val="002F4B7A"/>
    <w:rsid w:val="002F52A0"/>
    <w:rsid w:val="002F616A"/>
    <w:rsid w:val="002F7E74"/>
    <w:rsid w:val="003038B4"/>
    <w:rsid w:val="00306AD1"/>
    <w:rsid w:val="00307D77"/>
    <w:rsid w:val="003150DB"/>
    <w:rsid w:val="00315B8B"/>
    <w:rsid w:val="00317AA2"/>
    <w:rsid w:val="00321CD2"/>
    <w:rsid w:val="00323D2A"/>
    <w:rsid w:val="0032463C"/>
    <w:rsid w:val="003269BE"/>
    <w:rsid w:val="00333D6C"/>
    <w:rsid w:val="00337958"/>
    <w:rsid w:val="003409D7"/>
    <w:rsid w:val="00340BCA"/>
    <w:rsid w:val="00341ADD"/>
    <w:rsid w:val="00342AB9"/>
    <w:rsid w:val="003439B8"/>
    <w:rsid w:val="00344D1A"/>
    <w:rsid w:val="003453F0"/>
    <w:rsid w:val="003456E6"/>
    <w:rsid w:val="00345BEC"/>
    <w:rsid w:val="0034701F"/>
    <w:rsid w:val="00351CA0"/>
    <w:rsid w:val="00351E52"/>
    <w:rsid w:val="00352A22"/>
    <w:rsid w:val="00355870"/>
    <w:rsid w:val="0035722A"/>
    <w:rsid w:val="003630F1"/>
    <w:rsid w:val="00363CE0"/>
    <w:rsid w:val="00363D66"/>
    <w:rsid w:val="00364419"/>
    <w:rsid w:val="003659E2"/>
    <w:rsid w:val="00371641"/>
    <w:rsid w:val="0037384E"/>
    <w:rsid w:val="00373D0D"/>
    <w:rsid w:val="00373EB9"/>
    <w:rsid w:val="00374235"/>
    <w:rsid w:val="00374A41"/>
    <w:rsid w:val="0037795F"/>
    <w:rsid w:val="00377FB1"/>
    <w:rsid w:val="003809E7"/>
    <w:rsid w:val="003814F8"/>
    <w:rsid w:val="003823A2"/>
    <w:rsid w:val="00383036"/>
    <w:rsid w:val="00383646"/>
    <w:rsid w:val="003840A2"/>
    <w:rsid w:val="003841B2"/>
    <w:rsid w:val="00386014"/>
    <w:rsid w:val="0038691E"/>
    <w:rsid w:val="0038756A"/>
    <w:rsid w:val="00387B93"/>
    <w:rsid w:val="003908B3"/>
    <w:rsid w:val="003914E9"/>
    <w:rsid w:val="00391743"/>
    <w:rsid w:val="00391B76"/>
    <w:rsid w:val="00393EBC"/>
    <w:rsid w:val="00393F44"/>
    <w:rsid w:val="003945F5"/>
    <w:rsid w:val="00395B95"/>
    <w:rsid w:val="003A07F3"/>
    <w:rsid w:val="003A18BC"/>
    <w:rsid w:val="003A22D0"/>
    <w:rsid w:val="003A3904"/>
    <w:rsid w:val="003A3C08"/>
    <w:rsid w:val="003A3E99"/>
    <w:rsid w:val="003A40AB"/>
    <w:rsid w:val="003A4637"/>
    <w:rsid w:val="003A50AC"/>
    <w:rsid w:val="003A772D"/>
    <w:rsid w:val="003A7900"/>
    <w:rsid w:val="003B121C"/>
    <w:rsid w:val="003B2418"/>
    <w:rsid w:val="003B2BEA"/>
    <w:rsid w:val="003B3E67"/>
    <w:rsid w:val="003B4A7E"/>
    <w:rsid w:val="003B4DD5"/>
    <w:rsid w:val="003B5FD3"/>
    <w:rsid w:val="003B6B87"/>
    <w:rsid w:val="003C0038"/>
    <w:rsid w:val="003C095C"/>
    <w:rsid w:val="003C0FFE"/>
    <w:rsid w:val="003C112D"/>
    <w:rsid w:val="003C1507"/>
    <w:rsid w:val="003C20E4"/>
    <w:rsid w:val="003C3369"/>
    <w:rsid w:val="003C7155"/>
    <w:rsid w:val="003C7ECD"/>
    <w:rsid w:val="003D021E"/>
    <w:rsid w:val="003D3ED4"/>
    <w:rsid w:val="003E444D"/>
    <w:rsid w:val="003E6E3D"/>
    <w:rsid w:val="003E6EF9"/>
    <w:rsid w:val="003E72A7"/>
    <w:rsid w:val="003F1292"/>
    <w:rsid w:val="003F23CD"/>
    <w:rsid w:val="003F27E8"/>
    <w:rsid w:val="003F44A1"/>
    <w:rsid w:val="003F50CF"/>
    <w:rsid w:val="0040200D"/>
    <w:rsid w:val="0040293B"/>
    <w:rsid w:val="00402F2F"/>
    <w:rsid w:val="00405D2F"/>
    <w:rsid w:val="00406A0B"/>
    <w:rsid w:val="00407E05"/>
    <w:rsid w:val="00413387"/>
    <w:rsid w:val="004148C0"/>
    <w:rsid w:val="00416D66"/>
    <w:rsid w:val="00416F6B"/>
    <w:rsid w:val="00420637"/>
    <w:rsid w:val="0042223E"/>
    <w:rsid w:val="00422D69"/>
    <w:rsid w:val="00422E11"/>
    <w:rsid w:val="00424B61"/>
    <w:rsid w:val="00426F45"/>
    <w:rsid w:val="00427060"/>
    <w:rsid w:val="00430B44"/>
    <w:rsid w:val="00431AFF"/>
    <w:rsid w:val="004335C5"/>
    <w:rsid w:val="0043716A"/>
    <w:rsid w:val="00437534"/>
    <w:rsid w:val="004411A5"/>
    <w:rsid w:val="00441D5D"/>
    <w:rsid w:val="004428C1"/>
    <w:rsid w:val="00443036"/>
    <w:rsid w:val="004439A6"/>
    <w:rsid w:val="004504E7"/>
    <w:rsid w:val="004516DA"/>
    <w:rsid w:val="00452BE1"/>
    <w:rsid w:val="00455ED3"/>
    <w:rsid w:val="00457259"/>
    <w:rsid w:val="00460F38"/>
    <w:rsid w:val="004661C3"/>
    <w:rsid w:val="0046708E"/>
    <w:rsid w:val="00467990"/>
    <w:rsid w:val="00473B8E"/>
    <w:rsid w:val="00475B36"/>
    <w:rsid w:val="004767D8"/>
    <w:rsid w:val="004770B9"/>
    <w:rsid w:val="004779D0"/>
    <w:rsid w:val="00480189"/>
    <w:rsid w:val="004809C1"/>
    <w:rsid w:val="0048326C"/>
    <w:rsid w:val="004863D9"/>
    <w:rsid w:val="00486DE7"/>
    <w:rsid w:val="004873DA"/>
    <w:rsid w:val="004903C4"/>
    <w:rsid w:val="0049470D"/>
    <w:rsid w:val="004A2EA5"/>
    <w:rsid w:val="004A4FB1"/>
    <w:rsid w:val="004B0F0D"/>
    <w:rsid w:val="004B1176"/>
    <w:rsid w:val="004B2352"/>
    <w:rsid w:val="004B4F14"/>
    <w:rsid w:val="004B5A35"/>
    <w:rsid w:val="004B6B5F"/>
    <w:rsid w:val="004C2FAE"/>
    <w:rsid w:val="004C357E"/>
    <w:rsid w:val="004C4250"/>
    <w:rsid w:val="004C680F"/>
    <w:rsid w:val="004C6C5D"/>
    <w:rsid w:val="004D0834"/>
    <w:rsid w:val="004D153F"/>
    <w:rsid w:val="004D2110"/>
    <w:rsid w:val="004D217D"/>
    <w:rsid w:val="004D365D"/>
    <w:rsid w:val="004D4CB9"/>
    <w:rsid w:val="004D67AA"/>
    <w:rsid w:val="004E069A"/>
    <w:rsid w:val="004E26CC"/>
    <w:rsid w:val="004E4FF2"/>
    <w:rsid w:val="004E723F"/>
    <w:rsid w:val="004F046A"/>
    <w:rsid w:val="004F2278"/>
    <w:rsid w:val="004F2DF8"/>
    <w:rsid w:val="004F30C2"/>
    <w:rsid w:val="004F3E73"/>
    <w:rsid w:val="004F6D39"/>
    <w:rsid w:val="005003F8"/>
    <w:rsid w:val="00502234"/>
    <w:rsid w:val="005038ED"/>
    <w:rsid w:val="0050484F"/>
    <w:rsid w:val="00507C8B"/>
    <w:rsid w:val="005100FB"/>
    <w:rsid w:val="00515E62"/>
    <w:rsid w:val="00516803"/>
    <w:rsid w:val="00516C7F"/>
    <w:rsid w:val="005176AA"/>
    <w:rsid w:val="00517EDA"/>
    <w:rsid w:val="005219A3"/>
    <w:rsid w:val="00522035"/>
    <w:rsid w:val="0052297D"/>
    <w:rsid w:val="00522E64"/>
    <w:rsid w:val="00523965"/>
    <w:rsid w:val="00523D9D"/>
    <w:rsid w:val="00525FE7"/>
    <w:rsid w:val="0052687C"/>
    <w:rsid w:val="00526CB5"/>
    <w:rsid w:val="0053068A"/>
    <w:rsid w:val="00533C48"/>
    <w:rsid w:val="00534532"/>
    <w:rsid w:val="00536652"/>
    <w:rsid w:val="00537572"/>
    <w:rsid w:val="005415C3"/>
    <w:rsid w:val="00542A6D"/>
    <w:rsid w:val="00543E7C"/>
    <w:rsid w:val="00544057"/>
    <w:rsid w:val="00545D9D"/>
    <w:rsid w:val="005466D6"/>
    <w:rsid w:val="0054692E"/>
    <w:rsid w:val="005477BB"/>
    <w:rsid w:val="00551D1B"/>
    <w:rsid w:val="00551DF2"/>
    <w:rsid w:val="00553E3B"/>
    <w:rsid w:val="00555A91"/>
    <w:rsid w:val="00560F07"/>
    <w:rsid w:val="00560F4B"/>
    <w:rsid w:val="00562178"/>
    <w:rsid w:val="005643B1"/>
    <w:rsid w:val="00565056"/>
    <w:rsid w:val="005653CD"/>
    <w:rsid w:val="00566211"/>
    <w:rsid w:val="00566557"/>
    <w:rsid w:val="0057089D"/>
    <w:rsid w:val="00572506"/>
    <w:rsid w:val="00572F1A"/>
    <w:rsid w:val="00574A1D"/>
    <w:rsid w:val="00577435"/>
    <w:rsid w:val="00580692"/>
    <w:rsid w:val="00581215"/>
    <w:rsid w:val="005819AB"/>
    <w:rsid w:val="00581E88"/>
    <w:rsid w:val="00583463"/>
    <w:rsid w:val="005838AD"/>
    <w:rsid w:val="0058581D"/>
    <w:rsid w:val="00585FC2"/>
    <w:rsid w:val="005935F6"/>
    <w:rsid w:val="00593610"/>
    <w:rsid w:val="005941E5"/>
    <w:rsid w:val="005A0C0F"/>
    <w:rsid w:val="005A1861"/>
    <w:rsid w:val="005A593B"/>
    <w:rsid w:val="005A5E82"/>
    <w:rsid w:val="005A6300"/>
    <w:rsid w:val="005A69C3"/>
    <w:rsid w:val="005A6EB0"/>
    <w:rsid w:val="005B1DBD"/>
    <w:rsid w:val="005B33A6"/>
    <w:rsid w:val="005B3FFA"/>
    <w:rsid w:val="005B5346"/>
    <w:rsid w:val="005B5641"/>
    <w:rsid w:val="005B6281"/>
    <w:rsid w:val="005C0E37"/>
    <w:rsid w:val="005C4021"/>
    <w:rsid w:val="005C4510"/>
    <w:rsid w:val="005D06BA"/>
    <w:rsid w:val="005D1137"/>
    <w:rsid w:val="005D1333"/>
    <w:rsid w:val="005D437E"/>
    <w:rsid w:val="005D4853"/>
    <w:rsid w:val="005D5C9E"/>
    <w:rsid w:val="005E0280"/>
    <w:rsid w:val="005E2CC8"/>
    <w:rsid w:val="005E3670"/>
    <w:rsid w:val="005E36A8"/>
    <w:rsid w:val="005E4CEE"/>
    <w:rsid w:val="005E520A"/>
    <w:rsid w:val="005E6B7F"/>
    <w:rsid w:val="005F282F"/>
    <w:rsid w:val="005F3C2E"/>
    <w:rsid w:val="005F3EF4"/>
    <w:rsid w:val="005F65D3"/>
    <w:rsid w:val="00600777"/>
    <w:rsid w:val="00600CCC"/>
    <w:rsid w:val="00600EA9"/>
    <w:rsid w:val="00603CAD"/>
    <w:rsid w:val="00604F97"/>
    <w:rsid w:val="00605C47"/>
    <w:rsid w:val="00607F43"/>
    <w:rsid w:val="006107F4"/>
    <w:rsid w:val="0061199A"/>
    <w:rsid w:val="00611B52"/>
    <w:rsid w:val="0061238F"/>
    <w:rsid w:val="006135E0"/>
    <w:rsid w:val="00613F23"/>
    <w:rsid w:val="00615359"/>
    <w:rsid w:val="006167AC"/>
    <w:rsid w:val="0061762B"/>
    <w:rsid w:val="00617BAF"/>
    <w:rsid w:val="006204B5"/>
    <w:rsid w:val="00621B2F"/>
    <w:rsid w:val="00621CF7"/>
    <w:rsid w:val="00622157"/>
    <w:rsid w:val="006237CB"/>
    <w:rsid w:val="00623CB3"/>
    <w:rsid w:val="00624847"/>
    <w:rsid w:val="00624DFE"/>
    <w:rsid w:val="00627F2A"/>
    <w:rsid w:val="00630099"/>
    <w:rsid w:val="006327DF"/>
    <w:rsid w:val="00633502"/>
    <w:rsid w:val="0063454A"/>
    <w:rsid w:val="0063473A"/>
    <w:rsid w:val="00634A89"/>
    <w:rsid w:val="0063629B"/>
    <w:rsid w:val="006363B3"/>
    <w:rsid w:val="00636FE1"/>
    <w:rsid w:val="006373FD"/>
    <w:rsid w:val="00642C1E"/>
    <w:rsid w:val="006433FE"/>
    <w:rsid w:val="00645AF2"/>
    <w:rsid w:val="006566B2"/>
    <w:rsid w:val="00656996"/>
    <w:rsid w:val="0066278C"/>
    <w:rsid w:val="00662D4E"/>
    <w:rsid w:val="00666E40"/>
    <w:rsid w:val="00667C03"/>
    <w:rsid w:val="00672381"/>
    <w:rsid w:val="00672C96"/>
    <w:rsid w:val="00674542"/>
    <w:rsid w:val="0067566F"/>
    <w:rsid w:val="006759B8"/>
    <w:rsid w:val="00677C13"/>
    <w:rsid w:val="00677EE2"/>
    <w:rsid w:val="00682CA2"/>
    <w:rsid w:val="006843E2"/>
    <w:rsid w:val="0068596A"/>
    <w:rsid w:val="00685BB4"/>
    <w:rsid w:val="00686ADF"/>
    <w:rsid w:val="00686DAD"/>
    <w:rsid w:val="00686E1A"/>
    <w:rsid w:val="00687395"/>
    <w:rsid w:val="00687E3F"/>
    <w:rsid w:val="006905DF"/>
    <w:rsid w:val="00691CF3"/>
    <w:rsid w:val="00691F32"/>
    <w:rsid w:val="00692A2D"/>
    <w:rsid w:val="0069310C"/>
    <w:rsid w:val="00693A80"/>
    <w:rsid w:val="00694327"/>
    <w:rsid w:val="00695575"/>
    <w:rsid w:val="0069592E"/>
    <w:rsid w:val="006A1319"/>
    <w:rsid w:val="006A4B95"/>
    <w:rsid w:val="006A4F46"/>
    <w:rsid w:val="006A5365"/>
    <w:rsid w:val="006A5B35"/>
    <w:rsid w:val="006A5B6B"/>
    <w:rsid w:val="006A665B"/>
    <w:rsid w:val="006A7400"/>
    <w:rsid w:val="006B0991"/>
    <w:rsid w:val="006B10B7"/>
    <w:rsid w:val="006B1DE3"/>
    <w:rsid w:val="006B1EC7"/>
    <w:rsid w:val="006B2EA3"/>
    <w:rsid w:val="006B3804"/>
    <w:rsid w:val="006B4069"/>
    <w:rsid w:val="006B465A"/>
    <w:rsid w:val="006B4FDC"/>
    <w:rsid w:val="006B7590"/>
    <w:rsid w:val="006B79AD"/>
    <w:rsid w:val="006C4021"/>
    <w:rsid w:val="006D0017"/>
    <w:rsid w:val="006D0076"/>
    <w:rsid w:val="006D3CF8"/>
    <w:rsid w:val="006D4B93"/>
    <w:rsid w:val="006D5240"/>
    <w:rsid w:val="006D5CD1"/>
    <w:rsid w:val="006D7A34"/>
    <w:rsid w:val="006E059C"/>
    <w:rsid w:val="006E1257"/>
    <w:rsid w:val="006E14E1"/>
    <w:rsid w:val="006E2FE5"/>
    <w:rsid w:val="006E680E"/>
    <w:rsid w:val="006F0BF0"/>
    <w:rsid w:val="006F1F81"/>
    <w:rsid w:val="006F3879"/>
    <w:rsid w:val="006F7B39"/>
    <w:rsid w:val="006F7F0F"/>
    <w:rsid w:val="006F7F99"/>
    <w:rsid w:val="00702B4C"/>
    <w:rsid w:val="00703F34"/>
    <w:rsid w:val="0070581B"/>
    <w:rsid w:val="007079F8"/>
    <w:rsid w:val="007152DE"/>
    <w:rsid w:val="00716303"/>
    <w:rsid w:val="00716F32"/>
    <w:rsid w:val="00720011"/>
    <w:rsid w:val="0072080B"/>
    <w:rsid w:val="00721795"/>
    <w:rsid w:val="00722CDF"/>
    <w:rsid w:val="0073056A"/>
    <w:rsid w:val="007311EA"/>
    <w:rsid w:val="00731B3C"/>
    <w:rsid w:val="00734173"/>
    <w:rsid w:val="00734439"/>
    <w:rsid w:val="00734B21"/>
    <w:rsid w:val="007353E5"/>
    <w:rsid w:val="00736827"/>
    <w:rsid w:val="00737ADA"/>
    <w:rsid w:val="00742FB3"/>
    <w:rsid w:val="00747422"/>
    <w:rsid w:val="00747A48"/>
    <w:rsid w:val="0075103F"/>
    <w:rsid w:val="00753EFC"/>
    <w:rsid w:val="00755853"/>
    <w:rsid w:val="007564AF"/>
    <w:rsid w:val="00761697"/>
    <w:rsid w:val="00761E97"/>
    <w:rsid w:val="007648BA"/>
    <w:rsid w:val="00764AD7"/>
    <w:rsid w:val="00765912"/>
    <w:rsid w:val="00766E44"/>
    <w:rsid w:val="00767F0B"/>
    <w:rsid w:val="007706DF"/>
    <w:rsid w:val="00770967"/>
    <w:rsid w:val="00770C90"/>
    <w:rsid w:val="00770CB1"/>
    <w:rsid w:val="00771189"/>
    <w:rsid w:val="00771508"/>
    <w:rsid w:val="007715E4"/>
    <w:rsid w:val="00771EA8"/>
    <w:rsid w:val="007759D1"/>
    <w:rsid w:val="00776143"/>
    <w:rsid w:val="007763B6"/>
    <w:rsid w:val="0078007C"/>
    <w:rsid w:val="00780100"/>
    <w:rsid w:val="00782373"/>
    <w:rsid w:val="00783424"/>
    <w:rsid w:val="007845EB"/>
    <w:rsid w:val="007875D9"/>
    <w:rsid w:val="0078780E"/>
    <w:rsid w:val="00790C0D"/>
    <w:rsid w:val="00791218"/>
    <w:rsid w:val="007931C0"/>
    <w:rsid w:val="007933B1"/>
    <w:rsid w:val="007938CC"/>
    <w:rsid w:val="00793E52"/>
    <w:rsid w:val="00794BA9"/>
    <w:rsid w:val="007957B0"/>
    <w:rsid w:val="00795C2B"/>
    <w:rsid w:val="00797334"/>
    <w:rsid w:val="00797999"/>
    <w:rsid w:val="00797A05"/>
    <w:rsid w:val="007A04EB"/>
    <w:rsid w:val="007A25CF"/>
    <w:rsid w:val="007A3D61"/>
    <w:rsid w:val="007A4AAA"/>
    <w:rsid w:val="007A4F85"/>
    <w:rsid w:val="007A7B38"/>
    <w:rsid w:val="007A7DA7"/>
    <w:rsid w:val="007B00FB"/>
    <w:rsid w:val="007B19CE"/>
    <w:rsid w:val="007B3377"/>
    <w:rsid w:val="007C1544"/>
    <w:rsid w:val="007C2091"/>
    <w:rsid w:val="007C3E59"/>
    <w:rsid w:val="007C5717"/>
    <w:rsid w:val="007C57A5"/>
    <w:rsid w:val="007C6145"/>
    <w:rsid w:val="007C62CF"/>
    <w:rsid w:val="007D2F2A"/>
    <w:rsid w:val="007D2F39"/>
    <w:rsid w:val="007D3CD5"/>
    <w:rsid w:val="007D4B0E"/>
    <w:rsid w:val="007D67CD"/>
    <w:rsid w:val="007E063C"/>
    <w:rsid w:val="007E067A"/>
    <w:rsid w:val="007E1E41"/>
    <w:rsid w:val="007E2622"/>
    <w:rsid w:val="007E266C"/>
    <w:rsid w:val="007E501B"/>
    <w:rsid w:val="007E58BD"/>
    <w:rsid w:val="007F101E"/>
    <w:rsid w:val="007F1102"/>
    <w:rsid w:val="007F3C6A"/>
    <w:rsid w:val="007F4AEF"/>
    <w:rsid w:val="007F543C"/>
    <w:rsid w:val="007F6C6F"/>
    <w:rsid w:val="007F6D02"/>
    <w:rsid w:val="007F7367"/>
    <w:rsid w:val="0080011C"/>
    <w:rsid w:val="00800C09"/>
    <w:rsid w:val="00801360"/>
    <w:rsid w:val="00801FAF"/>
    <w:rsid w:val="00803157"/>
    <w:rsid w:val="008033FA"/>
    <w:rsid w:val="00803592"/>
    <w:rsid w:val="00803B9E"/>
    <w:rsid w:val="00804A6A"/>
    <w:rsid w:val="00805810"/>
    <w:rsid w:val="00805EA1"/>
    <w:rsid w:val="00811B57"/>
    <w:rsid w:val="008122F0"/>
    <w:rsid w:val="00814539"/>
    <w:rsid w:val="00814B00"/>
    <w:rsid w:val="00816D2B"/>
    <w:rsid w:val="00821782"/>
    <w:rsid w:val="00822379"/>
    <w:rsid w:val="00822D51"/>
    <w:rsid w:val="00824831"/>
    <w:rsid w:val="008268B1"/>
    <w:rsid w:val="00827067"/>
    <w:rsid w:val="008303CF"/>
    <w:rsid w:val="00831CBA"/>
    <w:rsid w:val="00833769"/>
    <w:rsid w:val="008337D6"/>
    <w:rsid w:val="00833EE1"/>
    <w:rsid w:val="008341E4"/>
    <w:rsid w:val="00834CA5"/>
    <w:rsid w:val="00835B63"/>
    <w:rsid w:val="00836098"/>
    <w:rsid w:val="00836673"/>
    <w:rsid w:val="00840A1D"/>
    <w:rsid w:val="008438C4"/>
    <w:rsid w:val="008450A9"/>
    <w:rsid w:val="008524F8"/>
    <w:rsid w:val="00854012"/>
    <w:rsid w:val="008547C3"/>
    <w:rsid w:val="00854BD7"/>
    <w:rsid w:val="00860575"/>
    <w:rsid w:val="00862E18"/>
    <w:rsid w:val="0086334E"/>
    <w:rsid w:val="0086359C"/>
    <w:rsid w:val="008702F0"/>
    <w:rsid w:val="00870402"/>
    <w:rsid w:val="00871D34"/>
    <w:rsid w:val="0087227F"/>
    <w:rsid w:val="0087254D"/>
    <w:rsid w:val="008727AF"/>
    <w:rsid w:val="00873C41"/>
    <w:rsid w:val="008763E3"/>
    <w:rsid w:val="00877209"/>
    <w:rsid w:val="008823B7"/>
    <w:rsid w:val="00883302"/>
    <w:rsid w:val="00885674"/>
    <w:rsid w:val="00885EDE"/>
    <w:rsid w:val="00890B7C"/>
    <w:rsid w:val="00891821"/>
    <w:rsid w:val="00891B8F"/>
    <w:rsid w:val="008A10F8"/>
    <w:rsid w:val="008A45C8"/>
    <w:rsid w:val="008A6CC5"/>
    <w:rsid w:val="008A74D0"/>
    <w:rsid w:val="008B121B"/>
    <w:rsid w:val="008B30F9"/>
    <w:rsid w:val="008B3483"/>
    <w:rsid w:val="008B472A"/>
    <w:rsid w:val="008B5D4D"/>
    <w:rsid w:val="008C0023"/>
    <w:rsid w:val="008C2D70"/>
    <w:rsid w:val="008C3A88"/>
    <w:rsid w:val="008C48D9"/>
    <w:rsid w:val="008C66BF"/>
    <w:rsid w:val="008C778E"/>
    <w:rsid w:val="008C7F22"/>
    <w:rsid w:val="008D0B07"/>
    <w:rsid w:val="008D216E"/>
    <w:rsid w:val="008D4C48"/>
    <w:rsid w:val="008D594D"/>
    <w:rsid w:val="008D5C8B"/>
    <w:rsid w:val="008D60D8"/>
    <w:rsid w:val="008E2ABA"/>
    <w:rsid w:val="008E2F7D"/>
    <w:rsid w:val="008E39C2"/>
    <w:rsid w:val="008E41A8"/>
    <w:rsid w:val="008E59B8"/>
    <w:rsid w:val="008E76D7"/>
    <w:rsid w:val="008F20AB"/>
    <w:rsid w:val="008F3F66"/>
    <w:rsid w:val="008F3F6B"/>
    <w:rsid w:val="008F5196"/>
    <w:rsid w:val="008F58B7"/>
    <w:rsid w:val="008F5ECA"/>
    <w:rsid w:val="008F6C6B"/>
    <w:rsid w:val="009006D7"/>
    <w:rsid w:val="00900B5E"/>
    <w:rsid w:val="009024FE"/>
    <w:rsid w:val="0090264C"/>
    <w:rsid w:val="00904C20"/>
    <w:rsid w:val="009058A4"/>
    <w:rsid w:val="00905AAD"/>
    <w:rsid w:val="009078CF"/>
    <w:rsid w:val="00912403"/>
    <w:rsid w:val="00912867"/>
    <w:rsid w:val="00912DB8"/>
    <w:rsid w:val="00913D4B"/>
    <w:rsid w:val="00913F41"/>
    <w:rsid w:val="0091403C"/>
    <w:rsid w:val="00914429"/>
    <w:rsid w:val="009159E9"/>
    <w:rsid w:val="009160C1"/>
    <w:rsid w:val="009173B1"/>
    <w:rsid w:val="00921A3D"/>
    <w:rsid w:val="00926A27"/>
    <w:rsid w:val="00927E8E"/>
    <w:rsid w:val="00930C41"/>
    <w:rsid w:val="00932703"/>
    <w:rsid w:val="009342B1"/>
    <w:rsid w:val="00936156"/>
    <w:rsid w:val="009370CD"/>
    <w:rsid w:val="00941470"/>
    <w:rsid w:val="00941B34"/>
    <w:rsid w:val="009430D1"/>
    <w:rsid w:val="009446A2"/>
    <w:rsid w:val="009472D1"/>
    <w:rsid w:val="00951078"/>
    <w:rsid w:val="009522E8"/>
    <w:rsid w:val="00955242"/>
    <w:rsid w:val="009564AE"/>
    <w:rsid w:val="00956CEA"/>
    <w:rsid w:val="00960157"/>
    <w:rsid w:val="00960E6B"/>
    <w:rsid w:val="00962627"/>
    <w:rsid w:val="00962D88"/>
    <w:rsid w:val="00963BFC"/>
    <w:rsid w:val="00964168"/>
    <w:rsid w:val="00964234"/>
    <w:rsid w:val="0096466E"/>
    <w:rsid w:val="009655B2"/>
    <w:rsid w:val="00965C7C"/>
    <w:rsid w:val="00966A8D"/>
    <w:rsid w:val="00970B6A"/>
    <w:rsid w:val="0097150E"/>
    <w:rsid w:val="009731E5"/>
    <w:rsid w:val="009802F1"/>
    <w:rsid w:val="00982572"/>
    <w:rsid w:val="0098375E"/>
    <w:rsid w:val="009841F0"/>
    <w:rsid w:val="00984B6B"/>
    <w:rsid w:val="00995F74"/>
    <w:rsid w:val="00996367"/>
    <w:rsid w:val="00996919"/>
    <w:rsid w:val="00996AA9"/>
    <w:rsid w:val="00996FF9"/>
    <w:rsid w:val="009972DA"/>
    <w:rsid w:val="009A06BF"/>
    <w:rsid w:val="009A0E9A"/>
    <w:rsid w:val="009A0F0C"/>
    <w:rsid w:val="009A199F"/>
    <w:rsid w:val="009A2B7E"/>
    <w:rsid w:val="009A4147"/>
    <w:rsid w:val="009A47EF"/>
    <w:rsid w:val="009A4EE8"/>
    <w:rsid w:val="009A605A"/>
    <w:rsid w:val="009A7596"/>
    <w:rsid w:val="009B23D5"/>
    <w:rsid w:val="009B24F4"/>
    <w:rsid w:val="009B36B9"/>
    <w:rsid w:val="009B49C2"/>
    <w:rsid w:val="009B50AD"/>
    <w:rsid w:val="009B758E"/>
    <w:rsid w:val="009B7822"/>
    <w:rsid w:val="009C0FD5"/>
    <w:rsid w:val="009C1E0D"/>
    <w:rsid w:val="009C4EDC"/>
    <w:rsid w:val="009C6084"/>
    <w:rsid w:val="009C6813"/>
    <w:rsid w:val="009C6FA8"/>
    <w:rsid w:val="009C7A90"/>
    <w:rsid w:val="009D0B22"/>
    <w:rsid w:val="009D1ED8"/>
    <w:rsid w:val="009D2A70"/>
    <w:rsid w:val="009D3CCB"/>
    <w:rsid w:val="009D3F8C"/>
    <w:rsid w:val="009D4E5D"/>
    <w:rsid w:val="009E06D6"/>
    <w:rsid w:val="009E1606"/>
    <w:rsid w:val="009E2BC9"/>
    <w:rsid w:val="009E4FA3"/>
    <w:rsid w:val="009E5026"/>
    <w:rsid w:val="009E6E20"/>
    <w:rsid w:val="009F06AF"/>
    <w:rsid w:val="009F0D1A"/>
    <w:rsid w:val="009F21F3"/>
    <w:rsid w:val="009F3265"/>
    <w:rsid w:val="009F40AA"/>
    <w:rsid w:val="009F4147"/>
    <w:rsid w:val="009F526A"/>
    <w:rsid w:val="009F6A51"/>
    <w:rsid w:val="009F6FCC"/>
    <w:rsid w:val="00A010A1"/>
    <w:rsid w:val="00A026C5"/>
    <w:rsid w:val="00A02956"/>
    <w:rsid w:val="00A02C95"/>
    <w:rsid w:val="00A05111"/>
    <w:rsid w:val="00A05708"/>
    <w:rsid w:val="00A05C74"/>
    <w:rsid w:val="00A06811"/>
    <w:rsid w:val="00A079DE"/>
    <w:rsid w:val="00A12A5C"/>
    <w:rsid w:val="00A12AEB"/>
    <w:rsid w:val="00A12C3F"/>
    <w:rsid w:val="00A134EE"/>
    <w:rsid w:val="00A1377D"/>
    <w:rsid w:val="00A13A84"/>
    <w:rsid w:val="00A14039"/>
    <w:rsid w:val="00A140FF"/>
    <w:rsid w:val="00A160D8"/>
    <w:rsid w:val="00A16D86"/>
    <w:rsid w:val="00A1727B"/>
    <w:rsid w:val="00A178A6"/>
    <w:rsid w:val="00A17D35"/>
    <w:rsid w:val="00A21FEC"/>
    <w:rsid w:val="00A22CAE"/>
    <w:rsid w:val="00A25A7E"/>
    <w:rsid w:val="00A26DB8"/>
    <w:rsid w:val="00A30A06"/>
    <w:rsid w:val="00A31A47"/>
    <w:rsid w:val="00A33BEF"/>
    <w:rsid w:val="00A34E1B"/>
    <w:rsid w:val="00A35111"/>
    <w:rsid w:val="00A3554D"/>
    <w:rsid w:val="00A361A8"/>
    <w:rsid w:val="00A36568"/>
    <w:rsid w:val="00A36A71"/>
    <w:rsid w:val="00A372B9"/>
    <w:rsid w:val="00A37D4D"/>
    <w:rsid w:val="00A4001A"/>
    <w:rsid w:val="00A40959"/>
    <w:rsid w:val="00A41C26"/>
    <w:rsid w:val="00A41C4E"/>
    <w:rsid w:val="00A44196"/>
    <w:rsid w:val="00A4498C"/>
    <w:rsid w:val="00A44DC1"/>
    <w:rsid w:val="00A45D15"/>
    <w:rsid w:val="00A503AF"/>
    <w:rsid w:val="00A50D20"/>
    <w:rsid w:val="00A5253A"/>
    <w:rsid w:val="00A53E01"/>
    <w:rsid w:val="00A550BD"/>
    <w:rsid w:val="00A55A9E"/>
    <w:rsid w:val="00A56272"/>
    <w:rsid w:val="00A56812"/>
    <w:rsid w:val="00A571D7"/>
    <w:rsid w:val="00A572C6"/>
    <w:rsid w:val="00A5787A"/>
    <w:rsid w:val="00A602D3"/>
    <w:rsid w:val="00A60739"/>
    <w:rsid w:val="00A6196F"/>
    <w:rsid w:val="00A61B68"/>
    <w:rsid w:val="00A63591"/>
    <w:rsid w:val="00A6593A"/>
    <w:rsid w:val="00A66849"/>
    <w:rsid w:val="00A7062A"/>
    <w:rsid w:val="00A70BBB"/>
    <w:rsid w:val="00A72C75"/>
    <w:rsid w:val="00A73567"/>
    <w:rsid w:val="00A74CDD"/>
    <w:rsid w:val="00A7575E"/>
    <w:rsid w:val="00A76455"/>
    <w:rsid w:val="00A76708"/>
    <w:rsid w:val="00A76A86"/>
    <w:rsid w:val="00A76E8A"/>
    <w:rsid w:val="00A77D1C"/>
    <w:rsid w:val="00A80CAD"/>
    <w:rsid w:val="00A80CB3"/>
    <w:rsid w:val="00A84ACA"/>
    <w:rsid w:val="00A853B8"/>
    <w:rsid w:val="00A85A0C"/>
    <w:rsid w:val="00A866BC"/>
    <w:rsid w:val="00A90DE4"/>
    <w:rsid w:val="00A91331"/>
    <w:rsid w:val="00A929F2"/>
    <w:rsid w:val="00AA1D14"/>
    <w:rsid w:val="00AA36FB"/>
    <w:rsid w:val="00AB2143"/>
    <w:rsid w:val="00AB437E"/>
    <w:rsid w:val="00AB6886"/>
    <w:rsid w:val="00AB6C3A"/>
    <w:rsid w:val="00AB7215"/>
    <w:rsid w:val="00AB775B"/>
    <w:rsid w:val="00AC0CD1"/>
    <w:rsid w:val="00AC2078"/>
    <w:rsid w:val="00AC7442"/>
    <w:rsid w:val="00AD0235"/>
    <w:rsid w:val="00AD3D5E"/>
    <w:rsid w:val="00AD3E43"/>
    <w:rsid w:val="00AD481F"/>
    <w:rsid w:val="00AD4FBF"/>
    <w:rsid w:val="00AD6387"/>
    <w:rsid w:val="00AD65FC"/>
    <w:rsid w:val="00AE04D1"/>
    <w:rsid w:val="00AE0642"/>
    <w:rsid w:val="00AE0748"/>
    <w:rsid w:val="00AE13EA"/>
    <w:rsid w:val="00AE1CAD"/>
    <w:rsid w:val="00AE5D80"/>
    <w:rsid w:val="00AE76FE"/>
    <w:rsid w:val="00AF1B89"/>
    <w:rsid w:val="00AF2D2F"/>
    <w:rsid w:val="00AF3178"/>
    <w:rsid w:val="00AF31A8"/>
    <w:rsid w:val="00AF4281"/>
    <w:rsid w:val="00AF58AC"/>
    <w:rsid w:val="00AF655B"/>
    <w:rsid w:val="00AF7BDB"/>
    <w:rsid w:val="00B00F07"/>
    <w:rsid w:val="00B00F50"/>
    <w:rsid w:val="00B023B0"/>
    <w:rsid w:val="00B06B88"/>
    <w:rsid w:val="00B101A6"/>
    <w:rsid w:val="00B12156"/>
    <w:rsid w:val="00B17056"/>
    <w:rsid w:val="00B20C95"/>
    <w:rsid w:val="00B219F3"/>
    <w:rsid w:val="00B31A8E"/>
    <w:rsid w:val="00B32A56"/>
    <w:rsid w:val="00B32E8D"/>
    <w:rsid w:val="00B34C8F"/>
    <w:rsid w:val="00B35725"/>
    <w:rsid w:val="00B35CDE"/>
    <w:rsid w:val="00B37A5C"/>
    <w:rsid w:val="00B4118E"/>
    <w:rsid w:val="00B41AD4"/>
    <w:rsid w:val="00B44E49"/>
    <w:rsid w:val="00B50556"/>
    <w:rsid w:val="00B52410"/>
    <w:rsid w:val="00B536AF"/>
    <w:rsid w:val="00B54BF9"/>
    <w:rsid w:val="00B5581E"/>
    <w:rsid w:val="00B60A7C"/>
    <w:rsid w:val="00B60DCA"/>
    <w:rsid w:val="00B60DF3"/>
    <w:rsid w:val="00B639E5"/>
    <w:rsid w:val="00B63AD9"/>
    <w:rsid w:val="00B642AF"/>
    <w:rsid w:val="00B649BD"/>
    <w:rsid w:val="00B67622"/>
    <w:rsid w:val="00B708DB"/>
    <w:rsid w:val="00B70903"/>
    <w:rsid w:val="00B70BB5"/>
    <w:rsid w:val="00B71D3A"/>
    <w:rsid w:val="00B7245C"/>
    <w:rsid w:val="00B72D2A"/>
    <w:rsid w:val="00B73A48"/>
    <w:rsid w:val="00B763A0"/>
    <w:rsid w:val="00B77B6F"/>
    <w:rsid w:val="00B819D3"/>
    <w:rsid w:val="00B82B98"/>
    <w:rsid w:val="00B83D2C"/>
    <w:rsid w:val="00B847AF"/>
    <w:rsid w:val="00B8526D"/>
    <w:rsid w:val="00B90851"/>
    <w:rsid w:val="00B91AD3"/>
    <w:rsid w:val="00B93898"/>
    <w:rsid w:val="00B960DC"/>
    <w:rsid w:val="00BA40D5"/>
    <w:rsid w:val="00BA7AB8"/>
    <w:rsid w:val="00BB01D3"/>
    <w:rsid w:val="00BB21B2"/>
    <w:rsid w:val="00BB32D2"/>
    <w:rsid w:val="00BB3B03"/>
    <w:rsid w:val="00BB4B2B"/>
    <w:rsid w:val="00BB4CE3"/>
    <w:rsid w:val="00BB72C9"/>
    <w:rsid w:val="00BC20B2"/>
    <w:rsid w:val="00BC36D7"/>
    <w:rsid w:val="00BC39EA"/>
    <w:rsid w:val="00BC4159"/>
    <w:rsid w:val="00BC5D09"/>
    <w:rsid w:val="00BC6ADA"/>
    <w:rsid w:val="00BC758C"/>
    <w:rsid w:val="00BC76E5"/>
    <w:rsid w:val="00BD10D2"/>
    <w:rsid w:val="00BD216C"/>
    <w:rsid w:val="00BD26E0"/>
    <w:rsid w:val="00BD392E"/>
    <w:rsid w:val="00BD56A7"/>
    <w:rsid w:val="00BD798F"/>
    <w:rsid w:val="00BE0F69"/>
    <w:rsid w:val="00BE10E5"/>
    <w:rsid w:val="00BE287E"/>
    <w:rsid w:val="00BE4997"/>
    <w:rsid w:val="00BE4D80"/>
    <w:rsid w:val="00BE6883"/>
    <w:rsid w:val="00BE6B9F"/>
    <w:rsid w:val="00BF0F2E"/>
    <w:rsid w:val="00BF3C6B"/>
    <w:rsid w:val="00BF4218"/>
    <w:rsid w:val="00BF4DFB"/>
    <w:rsid w:val="00BF662F"/>
    <w:rsid w:val="00BF6803"/>
    <w:rsid w:val="00C00CBA"/>
    <w:rsid w:val="00C010C7"/>
    <w:rsid w:val="00C0421B"/>
    <w:rsid w:val="00C06181"/>
    <w:rsid w:val="00C06546"/>
    <w:rsid w:val="00C06C48"/>
    <w:rsid w:val="00C07FB2"/>
    <w:rsid w:val="00C109A1"/>
    <w:rsid w:val="00C11229"/>
    <w:rsid w:val="00C131D2"/>
    <w:rsid w:val="00C14043"/>
    <w:rsid w:val="00C14702"/>
    <w:rsid w:val="00C1644B"/>
    <w:rsid w:val="00C17443"/>
    <w:rsid w:val="00C20894"/>
    <w:rsid w:val="00C21CCD"/>
    <w:rsid w:val="00C24F32"/>
    <w:rsid w:val="00C26C5E"/>
    <w:rsid w:val="00C31CA0"/>
    <w:rsid w:val="00C339C6"/>
    <w:rsid w:val="00C349B4"/>
    <w:rsid w:val="00C37148"/>
    <w:rsid w:val="00C4198A"/>
    <w:rsid w:val="00C41994"/>
    <w:rsid w:val="00C4215D"/>
    <w:rsid w:val="00C447AB"/>
    <w:rsid w:val="00C472E1"/>
    <w:rsid w:val="00C51382"/>
    <w:rsid w:val="00C51982"/>
    <w:rsid w:val="00C5265A"/>
    <w:rsid w:val="00C5532A"/>
    <w:rsid w:val="00C60730"/>
    <w:rsid w:val="00C61470"/>
    <w:rsid w:val="00C62A02"/>
    <w:rsid w:val="00C64AB3"/>
    <w:rsid w:val="00C6655A"/>
    <w:rsid w:val="00C6730E"/>
    <w:rsid w:val="00C674DD"/>
    <w:rsid w:val="00C71DDD"/>
    <w:rsid w:val="00C723D0"/>
    <w:rsid w:val="00C73025"/>
    <w:rsid w:val="00C735B1"/>
    <w:rsid w:val="00C736F8"/>
    <w:rsid w:val="00C739E8"/>
    <w:rsid w:val="00C76849"/>
    <w:rsid w:val="00C779B2"/>
    <w:rsid w:val="00C815C4"/>
    <w:rsid w:val="00C823D7"/>
    <w:rsid w:val="00C82D43"/>
    <w:rsid w:val="00C83C1B"/>
    <w:rsid w:val="00C848D8"/>
    <w:rsid w:val="00C8566E"/>
    <w:rsid w:val="00C879E1"/>
    <w:rsid w:val="00C93EC8"/>
    <w:rsid w:val="00C97FB9"/>
    <w:rsid w:val="00CA08AE"/>
    <w:rsid w:val="00CA25F2"/>
    <w:rsid w:val="00CA2CAC"/>
    <w:rsid w:val="00CA4B78"/>
    <w:rsid w:val="00CA4BBA"/>
    <w:rsid w:val="00CB20B2"/>
    <w:rsid w:val="00CB2991"/>
    <w:rsid w:val="00CB31D0"/>
    <w:rsid w:val="00CB323F"/>
    <w:rsid w:val="00CB4D24"/>
    <w:rsid w:val="00CB593F"/>
    <w:rsid w:val="00CB61B1"/>
    <w:rsid w:val="00CB65F1"/>
    <w:rsid w:val="00CB7762"/>
    <w:rsid w:val="00CC0FC1"/>
    <w:rsid w:val="00CC0FC5"/>
    <w:rsid w:val="00CC29A0"/>
    <w:rsid w:val="00CC52CE"/>
    <w:rsid w:val="00CC55B1"/>
    <w:rsid w:val="00CC6CE6"/>
    <w:rsid w:val="00CD147F"/>
    <w:rsid w:val="00CD2EC6"/>
    <w:rsid w:val="00CD32F9"/>
    <w:rsid w:val="00CD36C5"/>
    <w:rsid w:val="00CD5988"/>
    <w:rsid w:val="00CD5CFA"/>
    <w:rsid w:val="00CE1343"/>
    <w:rsid w:val="00CE1453"/>
    <w:rsid w:val="00CE1FE6"/>
    <w:rsid w:val="00CE3DDE"/>
    <w:rsid w:val="00CE4760"/>
    <w:rsid w:val="00CF09CA"/>
    <w:rsid w:val="00CF0C17"/>
    <w:rsid w:val="00CF1454"/>
    <w:rsid w:val="00CF4376"/>
    <w:rsid w:val="00CF46A6"/>
    <w:rsid w:val="00CF4C2F"/>
    <w:rsid w:val="00CF4D49"/>
    <w:rsid w:val="00CF4F44"/>
    <w:rsid w:val="00CF5AEF"/>
    <w:rsid w:val="00CF5B47"/>
    <w:rsid w:val="00D00B48"/>
    <w:rsid w:val="00D0146A"/>
    <w:rsid w:val="00D02A1E"/>
    <w:rsid w:val="00D04F40"/>
    <w:rsid w:val="00D07594"/>
    <w:rsid w:val="00D07959"/>
    <w:rsid w:val="00D10D9C"/>
    <w:rsid w:val="00D10DF3"/>
    <w:rsid w:val="00D1100F"/>
    <w:rsid w:val="00D156B8"/>
    <w:rsid w:val="00D1624F"/>
    <w:rsid w:val="00D20007"/>
    <w:rsid w:val="00D23A20"/>
    <w:rsid w:val="00D2643B"/>
    <w:rsid w:val="00D31874"/>
    <w:rsid w:val="00D324F7"/>
    <w:rsid w:val="00D3362A"/>
    <w:rsid w:val="00D34AD4"/>
    <w:rsid w:val="00D37031"/>
    <w:rsid w:val="00D371A4"/>
    <w:rsid w:val="00D37A80"/>
    <w:rsid w:val="00D40E06"/>
    <w:rsid w:val="00D40EFF"/>
    <w:rsid w:val="00D41FD4"/>
    <w:rsid w:val="00D43DDE"/>
    <w:rsid w:val="00D44708"/>
    <w:rsid w:val="00D4527D"/>
    <w:rsid w:val="00D45A7A"/>
    <w:rsid w:val="00D511DE"/>
    <w:rsid w:val="00D542C8"/>
    <w:rsid w:val="00D550FE"/>
    <w:rsid w:val="00D56CB1"/>
    <w:rsid w:val="00D57302"/>
    <w:rsid w:val="00D60837"/>
    <w:rsid w:val="00D62FB8"/>
    <w:rsid w:val="00D63473"/>
    <w:rsid w:val="00D644F8"/>
    <w:rsid w:val="00D64549"/>
    <w:rsid w:val="00D71174"/>
    <w:rsid w:val="00D717C1"/>
    <w:rsid w:val="00D71A93"/>
    <w:rsid w:val="00D72C2F"/>
    <w:rsid w:val="00D743DC"/>
    <w:rsid w:val="00D76EB0"/>
    <w:rsid w:val="00D80EF8"/>
    <w:rsid w:val="00D828B7"/>
    <w:rsid w:val="00D82918"/>
    <w:rsid w:val="00D82FED"/>
    <w:rsid w:val="00D8349F"/>
    <w:rsid w:val="00D84A53"/>
    <w:rsid w:val="00D857A2"/>
    <w:rsid w:val="00D86346"/>
    <w:rsid w:val="00D917AE"/>
    <w:rsid w:val="00D93E31"/>
    <w:rsid w:val="00D94D0B"/>
    <w:rsid w:val="00DA028E"/>
    <w:rsid w:val="00DA0DCD"/>
    <w:rsid w:val="00DA11AF"/>
    <w:rsid w:val="00DA5E3D"/>
    <w:rsid w:val="00DA63D0"/>
    <w:rsid w:val="00DA672B"/>
    <w:rsid w:val="00DB0E50"/>
    <w:rsid w:val="00DB1208"/>
    <w:rsid w:val="00DB1874"/>
    <w:rsid w:val="00DB2FA8"/>
    <w:rsid w:val="00DB2FD6"/>
    <w:rsid w:val="00DB53D5"/>
    <w:rsid w:val="00DB5D75"/>
    <w:rsid w:val="00DC0030"/>
    <w:rsid w:val="00DC1275"/>
    <w:rsid w:val="00DC1E9A"/>
    <w:rsid w:val="00DC3995"/>
    <w:rsid w:val="00DD0514"/>
    <w:rsid w:val="00DD3D45"/>
    <w:rsid w:val="00DD544D"/>
    <w:rsid w:val="00DD55BC"/>
    <w:rsid w:val="00DD5D4E"/>
    <w:rsid w:val="00DE0EEF"/>
    <w:rsid w:val="00DE58A1"/>
    <w:rsid w:val="00DE5D4C"/>
    <w:rsid w:val="00DF17DA"/>
    <w:rsid w:val="00E00C05"/>
    <w:rsid w:val="00E02924"/>
    <w:rsid w:val="00E03319"/>
    <w:rsid w:val="00E043DE"/>
    <w:rsid w:val="00E0541C"/>
    <w:rsid w:val="00E056F1"/>
    <w:rsid w:val="00E05F27"/>
    <w:rsid w:val="00E073BF"/>
    <w:rsid w:val="00E07954"/>
    <w:rsid w:val="00E1058D"/>
    <w:rsid w:val="00E11D8A"/>
    <w:rsid w:val="00E13D91"/>
    <w:rsid w:val="00E14993"/>
    <w:rsid w:val="00E17AB4"/>
    <w:rsid w:val="00E17F33"/>
    <w:rsid w:val="00E22DB0"/>
    <w:rsid w:val="00E268E9"/>
    <w:rsid w:val="00E27D39"/>
    <w:rsid w:val="00E30D4A"/>
    <w:rsid w:val="00E30F06"/>
    <w:rsid w:val="00E31347"/>
    <w:rsid w:val="00E3274C"/>
    <w:rsid w:val="00E3436A"/>
    <w:rsid w:val="00E34447"/>
    <w:rsid w:val="00E34A60"/>
    <w:rsid w:val="00E365C9"/>
    <w:rsid w:val="00E36D61"/>
    <w:rsid w:val="00E402C5"/>
    <w:rsid w:val="00E4039B"/>
    <w:rsid w:val="00E40531"/>
    <w:rsid w:val="00E4243B"/>
    <w:rsid w:val="00E425E2"/>
    <w:rsid w:val="00E444A3"/>
    <w:rsid w:val="00E4549A"/>
    <w:rsid w:val="00E45B5B"/>
    <w:rsid w:val="00E472F6"/>
    <w:rsid w:val="00E475C3"/>
    <w:rsid w:val="00E525AE"/>
    <w:rsid w:val="00E53EF9"/>
    <w:rsid w:val="00E55EF0"/>
    <w:rsid w:val="00E56321"/>
    <w:rsid w:val="00E56659"/>
    <w:rsid w:val="00E57824"/>
    <w:rsid w:val="00E57895"/>
    <w:rsid w:val="00E60CEE"/>
    <w:rsid w:val="00E64596"/>
    <w:rsid w:val="00E647CC"/>
    <w:rsid w:val="00E648F7"/>
    <w:rsid w:val="00E66360"/>
    <w:rsid w:val="00E71729"/>
    <w:rsid w:val="00E74520"/>
    <w:rsid w:val="00E74AD0"/>
    <w:rsid w:val="00E75B9E"/>
    <w:rsid w:val="00E802F0"/>
    <w:rsid w:val="00E8327F"/>
    <w:rsid w:val="00E84079"/>
    <w:rsid w:val="00E848BD"/>
    <w:rsid w:val="00E854EB"/>
    <w:rsid w:val="00E85C74"/>
    <w:rsid w:val="00E85EAF"/>
    <w:rsid w:val="00E862BE"/>
    <w:rsid w:val="00E87A66"/>
    <w:rsid w:val="00E90482"/>
    <w:rsid w:val="00E91346"/>
    <w:rsid w:val="00E94A2D"/>
    <w:rsid w:val="00E97E66"/>
    <w:rsid w:val="00EA1CB9"/>
    <w:rsid w:val="00EA28D5"/>
    <w:rsid w:val="00EA50D1"/>
    <w:rsid w:val="00EA6D12"/>
    <w:rsid w:val="00EB1253"/>
    <w:rsid w:val="00EB522A"/>
    <w:rsid w:val="00EB5885"/>
    <w:rsid w:val="00EB687C"/>
    <w:rsid w:val="00EB7FF1"/>
    <w:rsid w:val="00EC0490"/>
    <w:rsid w:val="00EC0818"/>
    <w:rsid w:val="00EC0F56"/>
    <w:rsid w:val="00EC17B2"/>
    <w:rsid w:val="00EC20D0"/>
    <w:rsid w:val="00EC2CC6"/>
    <w:rsid w:val="00EC35BA"/>
    <w:rsid w:val="00EC3E98"/>
    <w:rsid w:val="00EC6040"/>
    <w:rsid w:val="00EC6EA8"/>
    <w:rsid w:val="00EC74EF"/>
    <w:rsid w:val="00EC781C"/>
    <w:rsid w:val="00ED26A5"/>
    <w:rsid w:val="00ED3A48"/>
    <w:rsid w:val="00ED40FF"/>
    <w:rsid w:val="00ED4DAC"/>
    <w:rsid w:val="00ED5188"/>
    <w:rsid w:val="00ED62C6"/>
    <w:rsid w:val="00ED790F"/>
    <w:rsid w:val="00ED7E19"/>
    <w:rsid w:val="00EE0609"/>
    <w:rsid w:val="00EE35A6"/>
    <w:rsid w:val="00EE4871"/>
    <w:rsid w:val="00EF0574"/>
    <w:rsid w:val="00EF2760"/>
    <w:rsid w:val="00EF379A"/>
    <w:rsid w:val="00EF4E75"/>
    <w:rsid w:val="00EF6DDB"/>
    <w:rsid w:val="00F00817"/>
    <w:rsid w:val="00F01C26"/>
    <w:rsid w:val="00F01FA2"/>
    <w:rsid w:val="00F04CF5"/>
    <w:rsid w:val="00F053C1"/>
    <w:rsid w:val="00F06A7C"/>
    <w:rsid w:val="00F072E0"/>
    <w:rsid w:val="00F07A90"/>
    <w:rsid w:val="00F109C5"/>
    <w:rsid w:val="00F10EBC"/>
    <w:rsid w:val="00F1537F"/>
    <w:rsid w:val="00F15A34"/>
    <w:rsid w:val="00F15D66"/>
    <w:rsid w:val="00F176C9"/>
    <w:rsid w:val="00F217AC"/>
    <w:rsid w:val="00F22CC5"/>
    <w:rsid w:val="00F23544"/>
    <w:rsid w:val="00F27C50"/>
    <w:rsid w:val="00F32314"/>
    <w:rsid w:val="00F32672"/>
    <w:rsid w:val="00F32B70"/>
    <w:rsid w:val="00F33EDC"/>
    <w:rsid w:val="00F33F48"/>
    <w:rsid w:val="00F349D2"/>
    <w:rsid w:val="00F355F8"/>
    <w:rsid w:val="00F36F8E"/>
    <w:rsid w:val="00F37BCE"/>
    <w:rsid w:val="00F37CF2"/>
    <w:rsid w:val="00F40DB0"/>
    <w:rsid w:val="00F41046"/>
    <w:rsid w:val="00F411FF"/>
    <w:rsid w:val="00F41EF1"/>
    <w:rsid w:val="00F42208"/>
    <w:rsid w:val="00F430D1"/>
    <w:rsid w:val="00F44325"/>
    <w:rsid w:val="00F45F11"/>
    <w:rsid w:val="00F45FC9"/>
    <w:rsid w:val="00F50544"/>
    <w:rsid w:val="00F516CE"/>
    <w:rsid w:val="00F51CC6"/>
    <w:rsid w:val="00F5310E"/>
    <w:rsid w:val="00F53367"/>
    <w:rsid w:val="00F5339E"/>
    <w:rsid w:val="00F55D38"/>
    <w:rsid w:val="00F55D99"/>
    <w:rsid w:val="00F62709"/>
    <w:rsid w:val="00F62E5D"/>
    <w:rsid w:val="00F62F98"/>
    <w:rsid w:val="00F63726"/>
    <w:rsid w:val="00F63929"/>
    <w:rsid w:val="00F73560"/>
    <w:rsid w:val="00F739A0"/>
    <w:rsid w:val="00F7420A"/>
    <w:rsid w:val="00F746B0"/>
    <w:rsid w:val="00F755F6"/>
    <w:rsid w:val="00F75BA7"/>
    <w:rsid w:val="00F774E9"/>
    <w:rsid w:val="00F8231C"/>
    <w:rsid w:val="00F82DEF"/>
    <w:rsid w:val="00F943D8"/>
    <w:rsid w:val="00F95549"/>
    <w:rsid w:val="00F95EFF"/>
    <w:rsid w:val="00F97C9F"/>
    <w:rsid w:val="00FA18ED"/>
    <w:rsid w:val="00FA24E5"/>
    <w:rsid w:val="00FA54A0"/>
    <w:rsid w:val="00FA5BE8"/>
    <w:rsid w:val="00FA7B58"/>
    <w:rsid w:val="00FB14A9"/>
    <w:rsid w:val="00FB188D"/>
    <w:rsid w:val="00FB1A1E"/>
    <w:rsid w:val="00FB255E"/>
    <w:rsid w:val="00FB26EE"/>
    <w:rsid w:val="00FB302D"/>
    <w:rsid w:val="00FB33FB"/>
    <w:rsid w:val="00FB353E"/>
    <w:rsid w:val="00FB5618"/>
    <w:rsid w:val="00FB6579"/>
    <w:rsid w:val="00FB6E05"/>
    <w:rsid w:val="00FC079C"/>
    <w:rsid w:val="00FC0B3C"/>
    <w:rsid w:val="00FC168C"/>
    <w:rsid w:val="00FC2C98"/>
    <w:rsid w:val="00FC3EDA"/>
    <w:rsid w:val="00FC54CF"/>
    <w:rsid w:val="00FD0891"/>
    <w:rsid w:val="00FD0924"/>
    <w:rsid w:val="00FD1D3C"/>
    <w:rsid w:val="00FD27A8"/>
    <w:rsid w:val="00FD3385"/>
    <w:rsid w:val="00FD4507"/>
    <w:rsid w:val="00FD4571"/>
    <w:rsid w:val="00FD5530"/>
    <w:rsid w:val="00FD5738"/>
    <w:rsid w:val="00FE1120"/>
    <w:rsid w:val="00FE1A95"/>
    <w:rsid w:val="00FE2A70"/>
    <w:rsid w:val="00FE40DE"/>
    <w:rsid w:val="00FE59E2"/>
    <w:rsid w:val="00FE60FC"/>
    <w:rsid w:val="00FE67DD"/>
    <w:rsid w:val="00FF57B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04A67"/>
  <w14:defaultImageDpi w14:val="96"/>
  <w15:docId w15:val="{4BE0E1B4-E8C3-4837-9E2D-B8E60615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B2"/>
    <w:pPr>
      <w:spacing w:after="200" w:line="276" w:lineRule="auto"/>
    </w:pPr>
    <w:rPr>
      <w:rFonts w:ascii="Verdana" w:hAnsi="Verdana" w:cs="Times New Roman"/>
      <w:sz w:val="22"/>
      <w:szCs w:val="22"/>
      <w:lang w:eastAsia="en-US"/>
    </w:rPr>
  </w:style>
  <w:style w:type="paragraph" w:styleId="Heading1">
    <w:name w:val="heading 1"/>
    <w:basedOn w:val="Normal"/>
    <w:next w:val="Normal"/>
    <w:link w:val="Heading1Char"/>
    <w:uiPriority w:val="9"/>
    <w:qFormat/>
    <w:rsid w:val="00374A41"/>
    <w:pPr>
      <w:keepNext/>
      <w:keepLines/>
      <w:spacing w:before="480" w:after="0"/>
      <w:outlineLvl w:val="0"/>
    </w:pPr>
    <w:rPr>
      <w:b/>
      <w:bCs/>
      <w:color w:val="365F91"/>
      <w:sz w:val="36"/>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4A41"/>
    <w:rPr>
      <w:rFonts w:ascii="Verdana" w:hAnsi="Verdana" w:cs="Times New Roman"/>
      <w:b/>
      <w:bCs/>
      <w:color w:val="365F91"/>
      <w:sz w:val="36"/>
      <w:szCs w:val="28"/>
      <w:lang w:eastAsia="en-US"/>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link w:val="ListParagraphChar"/>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qFormat/>
    <w:rsid w:val="00DA63D0"/>
    <w:pPr>
      <w:spacing w:after="100"/>
    </w:pPr>
  </w:style>
  <w:style w:type="paragraph" w:styleId="TOC2">
    <w:name w:val="toc 2"/>
    <w:basedOn w:val="Normal"/>
    <w:next w:val="Normal"/>
    <w:autoRedefine/>
    <w:uiPriority w:val="39"/>
    <w:unhideWhenUsed/>
    <w:qFormat/>
    <w:rsid w:val="00DA63D0"/>
    <w:pPr>
      <w:spacing w:after="100"/>
      <w:ind w:left="220"/>
    </w:pPr>
  </w:style>
  <w:style w:type="paragraph" w:styleId="TOC3">
    <w:name w:val="toc 3"/>
    <w:basedOn w:val="Normal"/>
    <w:next w:val="Normal"/>
    <w:autoRedefine/>
    <w:uiPriority w:val="39"/>
    <w:unhideWhenUsed/>
    <w:qFormat/>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semiHidden/>
    <w:unhideWhenUsed/>
    <w:rsid w:val="004B4F14"/>
    <w:rPr>
      <w:sz w:val="20"/>
      <w:szCs w:val="20"/>
    </w:rPr>
  </w:style>
  <w:style w:type="character" w:customStyle="1" w:styleId="CommentTextChar">
    <w:name w:val="Comment Text Char"/>
    <w:link w:val="CommentText"/>
    <w:uiPriority w:val="99"/>
    <w:semiHidden/>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customStyle="1" w:styleId="TableGrid2">
    <w:name w:val="Table Grid2"/>
    <w:basedOn w:val="TableNormal"/>
    <w:next w:val="TableGrid"/>
    <w:uiPriority w:val="59"/>
    <w:rsid w:val="00A76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095C"/>
    <w:pPr>
      <w:widowControl w:val="0"/>
      <w:spacing w:before="10" w:after="0" w:line="240" w:lineRule="auto"/>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3C095C"/>
    <w:rPr>
      <w:rFonts w:ascii="Arial" w:eastAsia="Arial" w:hAnsi="Arial" w:cs="Arial"/>
      <w:b/>
      <w:bCs/>
      <w:sz w:val="28"/>
      <w:szCs w:val="28"/>
      <w:lang w:val="en-US" w:eastAsia="en-US"/>
    </w:rPr>
  </w:style>
  <w:style w:type="paragraph" w:customStyle="1" w:styleId="TableParagraph">
    <w:name w:val="Table Paragraph"/>
    <w:basedOn w:val="Normal"/>
    <w:uiPriority w:val="1"/>
    <w:qFormat/>
    <w:rsid w:val="003C095C"/>
    <w:pPr>
      <w:widowControl w:val="0"/>
      <w:spacing w:before="57" w:after="0" w:line="240" w:lineRule="auto"/>
      <w:ind w:left="40"/>
    </w:pPr>
    <w:rPr>
      <w:rFonts w:ascii="Arial" w:eastAsia="Arial" w:hAnsi="Arial" w:cs="Arial"/>
      <w:lang w:val="en-US"/>
    </w:rPr>
  </w:style>
  <w:style w:type="table" w:styleId="LightShading-Accent1">
    <w:name w:val="Light Shading Accent 1"/>
    <w:basedOn w:val="TableNormal"/>
    <w:uiPriority w:val="60"/>
    <w:rsid w:val="00A400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A02C95"/>
    <w:pPr>
      <w:spacing w:after="0"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rsid w:val="00426F45"/>
    <w:rPr>
      <w:rFonts w:ascii="Verdana" w:hAnsi="Verdana" w:cs="Times New Roman"/>
      <w:sz w:val="22"/>
      <w:szCs w:val="22"/>
      <w:lang w:eastAsia="en-US"/>
    </w:rPr>
  </w:style>
  <w:style w:type="paragraph" w:customStyle="1" w:styleId="Pa2">
    <w:name w:val="Pa2"/>
    <w:basedOn w:val="Default"/>
    <w:next w:val="Default"/>
    <w:uiPriority w:val="99"/>
    <w:rsid w:val="00E22DB0"/>
    <w:pPr>
      <w:spacing w:line="241" w:lineRule="atLeast"/>
    </w:pPr>
    <w:rPr>
      <w:rFonts w:ascii="Helvetica" w:hAnsi="Helvetica" w:cs="Helvetica"/>
      <w:color w:val="auto"/>
      <w:lang w:eastAsia="en-GB"/>
    </w:rPr>
  </w:style>
  <w:style w:type="paragraph" w:styleId="Revision">
    <w:name w:val="Revision"/>
    <w:hidden/>
    <w:uiPriority w:val="99"/>
    <w:semiHidden/>
    <w:rsid w:val="00F355F8"/>
    <w:rPr>
      <w:rFonts w:ascii="Verdana" w:hAnsi="Verdana" w:cs="Times New Roman"/>
      <w:sz w:val="22"/>
      <w:szCs w:val="22"/>
      <w:lang w:eastAsia="en-US"/>
    </w:rPr>
  </w:style>
  <w:style w:type="character" w:customStyle="1" w:styleId="ends2">
    <w:name w:val="ends2"/>
    <w:basedOn w:val="DefaultParagraphFont"/>
    <w:rsid w:val="00F01C26"/>
    <w:rPr>
      <w:vanish w:val="0"/>
      <w:webHidden w:val="0"/>
      <w:specVanish w:val="0"/>
    </w:rPr>
  </w:style>
  <w:style w:type="character" w:customStyle="1" w:styleId="A1">
    <w:name w:val="A1"/>
    <w:uiPriority w:val="99"/>
    <w:rsid w:val="00914429"/>
    <w:rPr>
      <w:rFonts w:cs="HelveticaNeueLT Std"/>
      <w:b/>
      <w:bCs/>
      <w:color w:val="6B6D75"/>
    </w:rPr>
  </w:style>
  <w:style w:type="paragraph" w:customStyle="1" w:styleId="Pa13">
    <w:name w:val="Pa13"/>
    <w:basedOn w:val="Default"/>
    <w:next w:val="Default"/>
    <w:uiPriority w:val="99"/>
    <w:rsid w:val="00BD798F"/>
    <w:pPr>
      <w:spacing w:line="241" w:lineRule="atLeast"/>
    </w:pPr>
    <w:rPr>
      <w:rFonts w:ascii="HelveticaNeueLT Std" w:hAnsi="HelveticaNeueLT Std" w:cs="Calibri"/>
      <w:color w:val="auto"/>
      <w:lang w:eastAsia="en-GB"/>
    </w:rPr>
  </w:style>
  <w:style w:type="paragraph" w:customStyle="1" w:styleId="Pa6">
    <w:name w:val="Pa6"/>
    <w:basedOn w:val="Default"/>
    <w:next w:val="Default"/>
    <w:uiPriority w:val="99"/>
    <w:rsid w:val="00BD798F"/>
    <w:pPr>
      <w:spacing w:line="321" w:lineRule="atLeast"/>
    </w:pPr>
    <w:rPr>
      <w:rFonts w:ascii="HelveticaNeueLT Std" w:hAnsi="HelveticaNeueLT Std"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091">
      <w:bodyDiv w:val="1"/>
      <w:marLeft w:val="0"/>
      <w:marRight w:val="0"/>
      <w:marTop w:val="0"/>
      <w:marBottom w:val="0"/>
      <w:divBdr>
        <w:top w:val="none" w:sz="0" w:space="0" w:color="auto"/>
        <w:left w:val="none" w:sz="0" w:space="0" w:color="auto"/>
        <w:bottom w:val="none" w:sz="0" w:space="0" w:color="auto"/>
        <w:right w:val="none" w:sz="0" w:space="0" w:color="auto"/>
      </w:divBdr>
    </w:div>
    <w:div w:id="127824896">
      <w:bodyDiv w:val="1"/>
      <w:marLeft w:val="0"/>
      <w:marRight w:val="0"/>
      <w:marTop w:val="0"/>
      <w:marBottom w:val="0"/>
      <w:divBdr>
        <w:top w:val="none" w:sz="0" w:space="0" w:color="auto"/>
        <w:left w:val="none" w:sz="0" w:space="0" w:color="auto"/>
        <w:bottom w:val="none" w:sz="0" w:space="0" w:color="auto"/>
        <w:right w:val="none" w:sz="0" w:space="0" w:color="auto"/>
      </w:divBdr>
    </w:div>
    <w:div w:id="152070162">
      <w:bodyDiv w:val="1"/>
      <w:marLeft w:val="0"/>
      <w:marRight w:val="0"/>
      <w:marTop w:val="0"/>
      <w:marBottom w:val="0"/>
      <w:divBdr>
        <w:top w:val="none" w:sz="0" w:space="0" w:color="auto"/>
        <w:left w:val="none" w:sz="0" w:space="0" w:color="auto"/>
        <w:bottom w:val="none" w:sz="0" w:space="0" w:color="auto"/>
        <w:right w:val="none" w:sz="0" w:space="0" w:color="auto"/>
      </w:divBdr>
    </w:div>
    <w:div w:id="338310866">
      <w:bodyDiv w:val="1"/>
      <w:marLeft w:val="0"/>
      <w:marRight w:val="0"/>
      <w:marTop w:val="0"/>
      <w:marBottom w:val="0"/>
      <w:divBdr>
        <w:top w:val="none" w:sz="0" w:space="0" w:color="auto"/>
        <w:left w:val="none" w:sz="0" w:space="0" w:color="auto"/>
        <w:bottom w:val="none" w:sz="0" w:space="0" w:color="auto"/>
        <w:right w:val="none" w:sz="0" w:space="0" w:color="auto"/>
      </w:divBdr>
    </w:div>
    <w:div w:id="346830858">
      <w:bodyDiv w:val="1"/>
      <w:marLeft w:val="0"/>
      <w:marRight w:val="0"/>
      <w:marTop w:val="0"/>
      <w:marBottom w:val="0"/>
      <w:divBdr>
        <w:top w:val="none" w:sz="0" w:space="0" w:color="auto"/>
        <w:left w:val="none" w:sz="0" w:space="0" w:color="auto"/>
        <w:bottom w:val="none" w:sz="0" w:space="0" w:color="auto"/>
        <w:right w:val="none" w:sz="0" w:space="0" w:color="auto"/>
      </w:divBdr>
    </w:div>
    <w:div w:id="883903465">
      <w:bodyDiv w:val="1"/>
      <w:marLeft w:val="0"/>
      <w:marRight w:val="0"/>
      <w:marTop w:val="0"/>
      <w:marBottom w:val="0"/>
      <w:divBdr>
        <w:top w:val="none" w:sz="0" w:space="0" w:color="auto"/>
        <w:left w:val="none" w:sz="0" w:space="0" w:color="auto"/>
        <w:bottom w:val="none" w:sz="0" w:space="0" w:color="auto"/>
        <w:right w:val="none" w:sz="0" w:space="0" w:color="auto"/>
      </w:divBdr>
      <w:divsChild>
        <w:div w:id="249588598">
          <w:marLeft w:val="0"/>
          <w:marRight w:val="0"/>
          <w:marTop w:val="0"/>
          <w:marBottom w:val="0"/>
          <w:divBdr>
            <w:top w:val="none" w:sz="0" w:space="0" w:color="auto"/>
            <w:left w:val="none" w:sz="0" w:space="0" w:color="auto"/>
            <w:bottom w:val="none" w:sz="0" w:space="0" w:color="auto"/>
            <w:right w:val="none" w:sz="0" w:space="0" w:color="auto"/>
          </w:divBdr>
          <w:divsChild>
            <w:div w:id="415060321">
              <w:marLeft w:val="0"/>
              <w:marRight w:val="0"/>
              <w:marTop w:val="0"/>
              <w:marBottom w:val="0"/>
              <w:divBdr>
                <w:top w:val="none" w:sz="0" w:space="0" w:color="auto"/>
                <w:left w:val="none" w:sz="0" w:space="0" w:color="auto"/>
                <w:bottom w:val="none" w:sz="0" w:space="0" w:color="auto"/>
                <w:right w:val="none" w:sz="0" w:space="0" w:color="auto"/>
              </w:divBdr>
              <w:divsChild>
                <w:div w:id="828519905">
                  <w:marLeft w:val="-180"/>
                  <w:marRight w:val="-180"/>
                  <w:marTop w:val="0"/>
                  <w:marBottom w:val="0"/>
                  <w:divBdr>
                    <w:top w:val="none" w:sz="0" w:space="0" w:color="auto"/>
                    <w:left w:val="none" w:sz="0" w:space="0" w:color="auto"/>
                    <w:bottom w:val="none" w:sz="0" w:space="0" w:color="auto"/>
                    <w:right w:val="none" w:sz="0" w:space="0" w:color="auto"/>
                  </w:divBdr>
                  <w:divsChild>
                    <w:div w:id="1041826984">
                      <w:marLeft w:val="0"/>
                      <w:marRight w:val="0"/>
                      <w:marTop w:val="0"/>
                      <w:marBottom w:val="0"/>
                      <w:divBdr>
                        <w:top w:val="none" w:sz="0" w:space="0" w:color="auto"/>
                        <w:left w:val="none" w:sz="0" w:space="0" w:color="auto"/>
                        <w:bottom w:val="none" w:sz="0" w:space="0" w:color="auto"/>
                        <w:right w:val="none" w:sz="0" w:space="0" w:color="auto"/>
                      </w:divBdr>
                      <w:divsChild>
                        <w:div w:id="729617998">
                          <w:marLeft w:val="0"/>
                          <w:marRight w:val="0"/>
                          <w:marTop w:val="0"/>
                          <w:marBottom w:val="0"/>
                          <w:divBdr>
                            <w:top w:val="none" w:sz="0" w:space="0" w:color="auto"/>
                            <w:left w:val="none" w:sz="0" w:space="0" w:color="auto"/>
                            <w:bottom w:val="none" w:sz="0" w:space="0" w:color="auto"/>
                            <w:right w:val="none" w:sz="0" w:space="0" w:color="auto"/>
                          </w:divBdr>
                          <w:divsChild>
                            <w:div w:id="303656809">
                              <w:marLeft w:val="0"/>
                              <w:marRight w:val="0"/>
                              <w:marTop w:val="0"/>
                              <w:marBottom w:val="0"/>
                              <w:divBdr>
                                <w:top w:val="none" w:sz="0" w:space="0" w:color="auto"/>
                                <w:left w:val="none" w:sz="0" w:space="0" w:color="auto"/>
                                <w:bottom w:val="none" w:sz="0" w:space="0" w:color="auto"/>
                                <w:right w:val="none" w:sz="0" w:space="0" w:color="auto"/>
                              </w:divBdr>
                              <w:divsChild>
                                <w:div w:id="833304987">
                                  <w:marLeft w:val="0"/>
                                  <w:marRight w:val="0"/>
                                  <w:marTop w:val="0"/>
                                  <w:marBottom w:val="0"/>
                                  <w:divBdr>
                                    <w:top w:val="none" w:sz="0" w:space="0" w:color="auto"/>
                                    <w:left w:val="none" w:sz="0" w:space="0" w:color="auto"/>
                                    <w:bottom w:val="none" w:sz="0" w:space="0" w:color="auto"/>
                                    <w:right w:val="none" w:sz="0" w:space="0" w:color="auto"/>
                                  </w:divBdr>
                                  <w:divsChild>
                                    <w:div w:id="1320189745">
                                      <w:marLeft w:val="0"/>
                                      <w:marRight w:val="0"/>
                                      <w:marTop w:val="0"/>
                                      <w:marBottom w:val="480"/>
                                      <w:divBdr>
                                        <w:top w:val="none" w:sz="0" w:space="0" w:color="auto"/>
                                        <w:left w:val="none" w:sz="0" w:space="0" w:color="auto"/>
                                        <w:bottom w:val="none" w:sz="0" w:space="0" w:color="auto"/>
                                        <w:right w:val="none" w:sz="0" w:space="0" w:color="auto"/>
                                      </w:divBdr>
                                      <w:divsChild>
                                        <w:div w:id="1249577890">
                                          <w:marLeft w:val="0"/>
                                          <w:marRight w:val="0"/>
                                          <w:marTop w:val="0"/>
                                          <w:marBottom w:val="0"/>
                                          <w:divBdr>
                                            <w:top w:val="none" w:sz="0" w:space="0" w:color="auto"/>
                                            <w:left w:val="none" w:sz="0" w:space="0" w:color="auto"/>
                                            <w:bottom w:val="none" w:sz="0" w:space="0" w:color="auto"/>
                                            <w:right w:val="none" w:sz="0" w:space="0" w:color="auto"/>
                                          </w:divBdr>
                                          <w:divsChild>
                                            <w:div w:id="98375637">
                                              <w:marLeft w:val="0"/>
                                              <w:marRight w:val="0"/>
                                              <w:marTop w:val="0"/>
                                              <w:marBottom w:val="0"/>
                                              <w:divBdr>
                                                <w:top w:val="none" w:sz="0" w:space="0" w:color="auto"/>
                                                <w:left w:val="none" w:sz="0" w:space="0" w:color="auto"/>
                                                <w:bottom w:val="none" w:sz="0" w:space="0" w:color="auto"/>
                                                <w:right w:val="none" w:sz="0" w:space="0" w:color="auto"/>
                                              </w:divBdr>
                                              <w:divsChild>
                                                <w:div w:id="1279490757">
                                                  <w:marLeft w:val="0"/>
                                                  <w:marRight w:val="0"/>
                                                  <w:marTop w:val="0"/>
                                                  <w:marBottom w:val="360"/>
                                                  <w:divBdr>
                                                    <w:top w:val="none" w:sz="0" w:space="0" w:color="auto"/>
                                                    <w:left w:val="none" w:sz="0" w:space="0" w:color="auto"/>
                                                    <w:bottom w:val="none" w:sz="0" w:space="0" w:color="auto"/>
                                                    <w:right w:val="none" w:sz="0" w:space="0" w:color="auto"/>
                                                  </w:divBdr>
                                                  <w:divsChild>
                                                    <w:div w:id="1109204859">
                                                      <w:marLeft w:val="0"/>
                                                      <w:marRight w:val="0"/>
                                                      <w:marTop w:val="0"/>
                                                      <w:marBottom w:val="0"/>
                                                      <w:divBdr>
                                                        <w:top w:val="none" w:sz="0" w:space="0" w:color="auto"/>
                                                        <w:left w:val="none" w:sz="0" w:space="0" w:color="auto"/>
                                                        <w:bottom w:val="none" w:sz="0" w:space="0" w:color="auto"/>
                                                        <w:right w:val="none" w:sz="0" w:space="0" w:color="auto"/>
                                                      </w:divBdr>
                                                      <w:divsChild>
                                                        <w:div w:id="1282763635">
                                                          <w:marLeft w:val="0"/>
                                                          <w:marRight w:val="0"/>
                                                          <w:marTop w:val="0"/>
                                                          <w:marBottom w:val="360"/>
                                                          <w:divBdr>
                                                            <w:top w:val="none" w:sz="0" w:space="0" w:color="auto"/>
                                                            <w:left w:val="none" w:sz="0" w:space="0" w:color="auto"/>
                                                            <w:bottom w:val="none" w:sz="0" w:space="0" w:color="auto"/>
                                                            <w:right w:val="none" w:sz="0" w:space="0" w:color="auto"/>
                                                          </w:divBdr>
                                                          <w:divsChild>
                                                            <w:div w:id="202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843060">
      <w:bodyDiv w:val="1"/>
      <w:marLeft w:val="0"/>
      <w:marRight w:val="0"/>
      <w:marTop w:val="0"/>
      <w:marBottom w:val="0"/>
      <w:divBdr>
        <w:top w:val="none" w:sz="0" w:space="0" w:color="auto"/>
        <w:left w:val="none" w:sz="0" w:space="0" w:color="auto"/>
        <w:bottom w:val="none" w:sz="0" w:space="0" w:color="auto"/>
        <w:right w:val="none" w:sz="0" w:space="0" w:color="auto"/>
      </w:divBdr>
      <w:divsChild>
        <w:div w:id="946616512">
          <w:marLeft w:val="0"/>
          <w:marRight w:val="0"/>
          <w:marTop w:val="0"/>
          <w:marBottom w:val="0"/>
          <w:divBdr>
            <w:top w:val="none" w:sz="0" w:space="0" w:color="auto"/>
            <w:left w:val="none" w:sz="0" w:space="0" w:color="auto"/>
            <w:bottom w:val="none" w:sz="0" w:space="0" w:color="auto"/>
            <w:right w:val="none" w:sz="0" w:space="0" w:color="auto"/>
          </w:divBdr>
          <w:divsChild>
            <w:div w:id="287781419">
              <w:marLeft w:val="0"/>
              <w:marRight w:val="0"/>
              <w:marTop w:val="0"/>
              <w:marBottom w:val="0"/>
              <w:divBdr>
                <w:top w:val="none" w:sz="0" w:space="0" w:color="auto"/>
                <w:left w:val="none" w:sz="0" w:space="0" w:color="auto"/>
                <w:bottom w:val="none" w:sz="0" w:space="0" w:color="auto"/>
                <w:right w:val="none" w:sz="0" w:space="0" w:color="auto"/>
              </w:divBdr>
              <w:divsChild>
                <w:div w:id="1840349030">
                  <w:marLeft w:val="-180"/>
                  <w:marRight w:val="-180"/>
                  <w:marTop w:val="0"/>
                  <w:marBottom w:val="0"/>
                  <w:divBdr>
                    <w:top w:val="none" w:sz="0" w:space="0" w:color="auto"/>
                    <w:left w:val="none" w:sz="0" w:space="0" w:color="auto"/>
                    <w:bottom w:val="none" w:sz="0" w:space="0" w:color="auto"/>
                    <w:right w:val="none" w:sz="0" w:space="0" w:color="auto"/>
                  </w:divBdr>
                  <w:divsChild>
                    <w:div w:id="6444778">
                      <w:marLeft w:val="0"/>
                      <w:marRight w:val="0"/>
                      <w:marTop w:val="0"/>
                      <w:marBottom w:val="0"/>
                      <w:divBdr>
                        <w:top w:val="none" w:sz="0" w:space="0" w:color="auto"/>
                        <w:left w:val="none" w:sz="0" w:space="0" w:color="auto"/>
                        <w:bottom w:val="none" w:sz="0" w:space="0" w:color="auto"/>
                        <w:right w:val="none" w:sz="0" w:space="0" w:color="auto"/>
                      </w:divBdr>
                      <w:divsChild>
                        <w:div w:id="271517133">
                          <w:marLeft w:val="0"/>
                          <w:marRight w:val="0"/>
                          <w:marTop w:val="0"/>
                          <w:marBottom w:val="0"/>
                          <w:divBdr>
                            <w:top w:val="none" w:sz="0" w:space="0" w:color="auto"/>
                            <w:left w:val="none" w:sz="0" w:space="0" w:color="auto"/>
                            <w:bottom w:val="none" w:sz="0" w:space="0" w:color="auto"/>
                            <w:right w:val="none" w:sz="0" w:space="0" w:color="auto"/>
                          </w:divBdr>
                          <w:divsChild>
                            <w:div w:id="1077940619">
                              <w:marLeft w:val="0"/>
                              <w:marRight w:val="0"/>
                              <w:marTop w:val="0"/>
                              <w:marBottom w:val="0"/>
                              <w:divBdr>
                                <w:top w:val="none" w:sz="0" w:space="0" w:color="auto"/>
                                <w:left w:val="none" w:sz="0" w:space="0" w:color="auto"/>
                                <w:bottom w:val="none" w:sz="0" w:space="0" w:color="auto"/>
                                <w:right w:val="none" w:sz="0" w:space="0" w:color="auto"/>
                              </w:divBdr>
                              <w:divsChild>
                                <w:div w:id="189532572">
                                  <w:marLeft w:val="0"/>
                                  <w:marRight w:val="0"/>
                                  <w:marTop w:val="0"/>
                                  <w:marBottom w:val="0"/>
                                  <w:divBdr>
                                    <w:top w:val="none" w:sz="0" w:space="0" w:color="auto"/>
                                    <w:left w:val="none" w:sz="0" w:space="0" w:color="auto"/>
                                    <w:bottom w:val="none" w:sz="0" w:space="0" w:color="auto"/>
                                    <w:right w:val="none" w:sz="0" w:space="0" w:color="auto"/>
                                  </w:divBdr>
                                  <w:divsChild>
                                    <w:div w:id="782266730">
                                      <w:marLeft w:val="0"/>
                                      <w:marRight w:val="0"/>
                                      <w:marTop w:val="0"/>
                                      <w:marBottom w:val="480"/>
                                      <w:divBdr>
                                        <w:top w:val="none" w:sz="0" w:space="0" w:color="auto"/>
                                        <w:left w:val="none" w:sz="0" w:space="0" w:color="auto"/>
                                        <w:bottom w:val="none" w:sz="0" w:space="0" w:color="auto"/>
                                        <w:right w:val="none" w:sz="0" w:space="0" w:color="auto"/>
                                      </w:divBdr>
                                      <w:divsChild>
                                        <w:div w:id="864901591">
                                          <w:marLeft w:val="0"/>
                                          <w:marRight w:val="0"/>
                                          <w:marTop w:val="0"/>
                                          <w:marBottom w:val="0"/>
                                          <w:divBdr>
                                            <w:top w:val="none" w:sz="0" w:space="0" w:color="auto"/>
                                            <w:left w:val="none" w:sz="0" w:space="0" w:color="auto"/>
                                            <w:bottom w:val="none" w:sz="0" w:space="0" w:color="auto"/>
                                            <w:right w:val="none" w:sz="0" w:space="0" w:color="auto"/>
                                          </w:divBdr>
                                          <w:divsChild>
                                            <w:div w:id="4258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143134">
      <w:bodyDiv w:val="1"/>
      <w:marLeft w:val="0"/>
      <w:marRight w:val="0"/>
      <w:marTop w:val="0"/>
      <w:marBottom w:val="0"/>
      <w:divBdr>
        <w:top w:val="none" w:sz="0" w:space="0" w:color="auto"/>
        <w:left w:val="none" w:sz="0" w:space="0" w:color="auto"/>
        <w:bottom w:val="none" w:sz="0" w:space="0" w:color="auto"/>
        <w:right w:val="none" w:sz="0" w:space="0" w:color="auto"/>
      </w:divBdr>
    </w:div>
    <w:div w:id="1188905430">
      <w:bodyDiv w:val="1"/>
      <w:marLeft w:val="0"/>
      <w:marRight w:val="0"/>
      <w:marTop w:val="0"/>
      <w:marBottom w:val="0"/>
      <w:divBdr>
        <w:top w:val="none" w:sz="0" w:space="0" w:color="auto"/>
        <w:left w:val="none" w:sz="0" w:space="0" w:color="auto"/>
        <w:bottom w:val="none" w:sz="0" w:space="0" w:color="auto"/>
        <w:right w:val="none" w:sz="0" w:space="0" w:color="auto"/>
      </w:divBdr>
    </w:div>
    <w:div w:id="1243569186">
      <w:bodyDiv w:val="1"/>
      <w:marLeft w:val="0"/>
      <w:marRight w:val="0"/>
      <w:marTop w:val="0"/>
      <w:marBottom w:val="0"/>
      <w:divBdr>
        <w:top w:val="none" w:sz="0" w:space="0" w:color="auto"/>
        <w:left w:val="none" w:sz="0" w:space="0" w:color="auto"/>
        <w:bottom w:val="none" w:sz="0" w:space="0" w:color="auto"/>
        <w:right w:val="none" w:sz="0" w:space="0" w:color="auto"/>
      </w:divBdr>
    </w:div>
    <w:div w:id="1259866982">
      <w:bodyDiv w:val="1"/>
      <w:marLeft w:val="0"/>
      <w:marRight w:val="0"/>
      <w:marTop w:val="0"/>
      <w:marBottom w:val="0"/>
      <w:divBdr>
        <w:top w:val="none" w:sz="0" w:space="0" w:color="auto"/>
        <w:left w:val="none" w:sz="0" w:space="0" w:color="auto"/>
        <w:bottom w:val="none" w:sz="0" w:space="0" w:color="auto"/>
        <w:right w:val="none" w:sz="0" w:space="0" w:color="auto"/>
      </w:divBdr>
      <w:divsChild>
        <w:div w:id="568854607">
          <w:marLeft w:val="0"/>
          <w:marRight w:val="0"/>
          <w:marTop w:val="0"/>
          <w:marBottom w:val="0"/>
          <w:divBdr>
            <w:top w:val="none" w:sz="0" w:space="0" w:color="auto"/>
            <w:left w:val="none" w:sz="0" w:space="0" w:color="auto"/>
            <w:bottom w:val="none" w:sz="0" w:space="0" w:color="auto"/>
            <w:right w:val="none" w:sz="0" w:space="0" w:color="auto"/>
          </w:divBdr>
          <w:divsChild>
            <w:div w:id="2098594734">
              <w:marLeft w:val="0"/>
              <w:marRight w:val="0"/>
              <w:marTop w:val="0"/>
              <w:marBottom w:val="0"/>
              <w:divBdr>
                <w:top w:val="none" w:sz="0" w:space="0" w:color="auto"/>
                <w:left w:val="none" w:sz="0" w:space="0" w:color="auto"/>
                <w:bottom w:val="none" w:sz="0" w:space="0" w:color="auto"/>
                <w:right w:val="none" w:sz="0" w:space="0" w:color="auto"/>
              </w:divBdr>
              <w:divsChild>
                <w:div w:id="19745647">
                  <w:marLeft w:val="0"/>
                  <w:marRight w:val="0"/>
                  <w:marTop w:val="0"/>
                  <w:marBottom w:val="0"/>
                  <w:divBdr>
                    <w:top w:val="none" w:sz="0" w:space="0" w:color="auto"/>
                    <w:left w:val="none" w:sz="0" w:space="0" w:color="auto"/>
                    <w:bottom w:val="none" w:sz="0" w:space="0" w:color="auto"/>
                    <w:right w:val="none" w:sz="0" w:space="0" w:color="auto"/>
                  </w:divBdr>
                  <w:divsChild>
                    <w:div w:id="1752120347">
                      <w:marLeft w:val="0"/>
                      <w:marRight w:val="0"/>
                      <w:marTop w:val="0"/>
                      <w:marBottom w:val="0"/>
                      <w:divBdr>
                        <w:top w:val="none" w:sz="0" w:space="0" w:color="auto"/>
                        <w:left w:val="none" w:sz="0" w:space="0" w:color="auto"/>
                        <w:bottom w:val="none" w:sz="0" w:space="0" w:color="auto"/>
                        <w:right w:val="none" w:sz="0" w:space="0" w:color="auto"/>
                      </w:divBdr>
                      <w:divsChild>
                        <w:div w:id="1467316432">
                          <w:marLeft w:val="0"/>
                          <w:marRight w:val="0"/>
                          <w:marTop w:val="0"/>
                          <w:marBottom w:val="0"/>
                          <w:divBdr>
                            <w:top w:val="none" w:sz="0" w:space="0" w:color="auto"/>
                            <w:left w:val="none" w:sz="0" w:space="0" w:color="auto"/>
                            <w:bottom w:val="none" w:sz="0" w:space="0" w:color="auto"/>
                            <w:right w:val="none" w:sz="0" w:space="0" w:color="auto"/>
                          </w:divBdr>
                          <w:divsChild>
                            <w:div w:id="15780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46463315">
      <w:bodyDiv w:val="1"/>
      <w:marLeft w:val="0"/>
      <w:marRight w:val="0"/>
      <w:marTop w:val="0"/>
      <w:marBottom w:val="0"/>
      <w:divBdr>
        <w:top w:val="none" w:sz="0" w:space="0" w:color="auto"/>
        <w:left w:val="none" w:sz="0" w:space="0" w:color="auto"/>
        <w:bottom w:val="none" w:sz="0" w:space="0" w:color="auto"/>
        <w:right w:val="none" w:sz="0" w:space="0" w:color="auto"/>
      </w:divBdr>
      <w:divsChild>
        <w:div w:id="1327898735">
          <w:marLeft w:val="0"/>
          <w:marRight w:val="0"/>
          <w:marTop w:val="0"/>
          <w:marBottom w:val="0"/>
          <w:divBdr>
            <w:top w:val="none" w:sz="0" w:space="0" w:color="auto"/>
            <w:left w:val="none" w:sz="0" w:space="0" w:color="auto"/>
            <w:bottom w:val="none" w:sz="0" w:space="0" w:color="auto"/>
            <w:right w:val="none" w:sz="0" w:space="0" w:color="auto"/>
          </w:divBdr>
          <w:divsChild>
            <w:div w:id="77338464">
              <w:marLeft w:val="0"/>
              <w:marRight w:val="0"/>
              <w:marTop w:val="0"/>
              <w:marBottom w:val="0"/>
              <w:divBdr>
                <w:top w:val="none" w:sz="0" w:space="0" w:color="auto"/>
                <w:left w:val="none" w:sz="0" w:space="0" w:color="auto"/>
                <w:bottom w:val="none" w:sz="0" w:space="0" w:color="auto"/>
                <w:right w:val="none" w:sz="0" w:space="0" w:color="auto"/>
              </w:divBdr>
              <w:divsChild>
                <w:div w:id="446242638">
                  <w:marLeft w:val="-180"/>
                  <w:marRight w:val="-180"/>
                  <w:marTop w:val="0"/>
                  <w:marBottom w:val="0"/>
                  <w:divBdr>
                    <w:top w:val="none" w:sz="0" w:space="0" w:color="auto"/>
                    <w:left w:val="none" w:sz="0" w:space="0" w:color="auto"/>
                    <w:bottom w:val="none" w:sz="0" w:space="0" w:color="auto"/>
                    <w:right w:val="none" w:sz="0" w:space="0" w:color="auto"/>
                  </w:divBdr>
                  <w:divsChild>
                    <w:div w:id="338971594">
                      <w:marLeft w:val="0"/>
                      <w:marRight w:val="0"/>
                      <w:marTop w:val="0"/>
                      <w:marBottom w:val="0"/>
                      <w:divBdr>
                        <w:top w:val="none" w:sz="0" w:space="0" w:color="auto"/>
                        <w:left w:val="none" w:sz="0" w:space="0" w:color="auto"/>
                        <w:bottom w:val="none" w:sz="0" w:space="0" w:color="auto"/>
                        <w:right w:val="none" w:sz="0" w:space="0" w:color="auto"/>
                      </w:divBdr>
                      <w:divsChild>
                        <w:div w:id="270475927">
                          <w:marLeft w:val="0"/>
                          <w:marRight w:val="0"/>
                          <w:marTop w:val="0"/>
                          <w:marBottom w:val="0"/>
                          <w:divBdr>
                            <w:top w:val="none" w:sz="0" w:space="0" w:color="auto"/>
                            <w:left w:val="none" w:sz="0" w:space="0" w:color="auto"/>
                            <w:bottom w:val="none" w:sz="0" w:space="0" w:color="auto"/>
                            <w:right w:val="none" w:sz="0" w:space="0" w:color="auto"/>
                          </w:divBdr>
                          <w:divsChild>
                            <w:div w:id="1815294870">
                              <w:marLeft w:val="0"/>
                              <w:marRight w:val="0"/>
                              <w:marTop w:val="0"/>
                              <w:marBottom w:val="0"/>
                              <w:divBdr>
                                <w:top w:val="none" w:sz="0" w:space="0" w:color="auto"/>
                                <w:left w:val="none" w:sz="0" w:space="0" w:color="auto"/>
                                <w:bottom w:val="none" w:sz="0" w:space="0" w:color="auto"/>
                                <w:right w:val="none" w:sz="0" w:space="0" w:color="auto"/>
                              </w:divBdr>
                              <w:divsChild>
                                <w:div w:id="1936866478">
                                  <w:marLeft w:val="0"/>
                                  <w:marRight w:val="0"/>
                                  <w:marTop w:val="0"/>
                                  <w:marBottom w:val="0"/>
                                  <w:divBdr>
                                    <w:top w:val="none" w:sz="0" w:space="0" w:color="auto"/>
                                    <w:left w:val="none" w:sz="0" w:space="0" w:color="auto"/>
                                    <w:bottom w:val="none" w:sz="0" w:space="0" w:color="auto"/>
                                    <w:right w:val="none" w:sz="0" w:space="0" w:color="auto"/>
                                  </w:divBdr>
                                  <w:divsChild>
                                    <w:div w:id="1071536034">
                                      <w:marLeft w:val="0"/>
                                      <w:marRight w:val="0"/>
                                      <w:marTop w:val="0"/>
                                      <w:marBottom w:val="480"/>
                                      <w:divBdr>
                                        <w:top w:val="none" w:sz="0" w:space="0" w:color="auto"/>
                                        <w:left w:val="none" w:sz="0" w:space="0" w:color="auto"/>
                                        <w:bottom w:val="none" w:sz="0" w:space="0" w:color="auto"/>
                                        <w:right w:val="none" w:sz="0" w:space="0" w:color="auto"/>
                                      </w:divBdr>
                                      <w:divsChild>
                                        <w:div w:id="225075111">
                                          <w:marLeft w:val="0"/>
                                          <w:marRight w:val="0"/>
                                          <w:marTop w:val="0"/>
                                          <w:marBottom w:val="0"/>
                                          <w:divBdr>
                                            <w:top w:val="none" w:sz="0" w:space="0" w:color="auto"/>
                                            <w:left w:val="none" w:sz="0" w:space="0" w:color="auto"/>
                                            <w:bottom w:val="none" w:sz="0" w:space="0" w:color="auto"/>
                                            <w:right w:val="none" w:sz="0" w:space="0" w:color="auto"/>
                                          </w:divBdr>
                                          <w:divsChild>
                                            <w:div w:id="374160168">
                                              <w:marLeft w:val="0"/>
                                              <w:marRight w:val="0"/>
                                              <w:marTop w:val="0"/>
                                              <w:marBottom w:val="0"/>
                                              <w:divBdr>
                                                <w:top w:val="none" w:sz="0" w:space="0" w:color="auto"/>
                                                <w:left w:val="none" w:sz="0" w:space="0" w:color="auto"/>
                                                <w:bottom w:val="none" w:sz="0" w:space="0" w:color="auto"/>
                                                <w:right w:val="none" w:sz="0" w:space="0" w:color="auto"/>
                                              </w:divBdr>
                                              <w:divsChild>
                                                <w:div w:id="1701200644">
                                                  <w:marLeft w:val="0"/>
                                                  <w:marRight w:val="0"/>
                                                  <w:marTop w:val="0"/>
                                                  <w:marBottom w:val="360"/>
                                                  <w:divBdr>
                                                    <w:top w:val="none" w:sz="0" w:space="0" w:color="auto"/>
                                                    <w:left w:val="none" w:sz="0" w:space="0" w:color="auto"/>
                                                    <w:bottom w:val="none" w:sz="0" w:space="0" w:color="auto"/>
                                                    <w:right w:val="none" w:sz="0" w:space="0" w:color="auto"/>
                                                  </w:divBdr>
                                                  <w:divsChild>
                                                    <w:div w:id="689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84718">
      <w:bodyDiv w:val="1"/>
      <w:marLeft w:val="0"/>
      <w:marRight w:val="0"/>
      <w:marTop w:val="0"/>
      <w:marBottom w:val="0"/>
      <w:divBdr>
        <w:top w:val="none" w:sz="0" w:space="0" w:color="auto"/>
        <w:left w:val="none" w:sz="0" w:space="0" w:color="auto"/>
        <w:bottom w:val="none" w:sz="0" w:space="0" w:color="auto"/>
        <w:right w:val="none" w:sz="0" w:space="0" w:color="auto"/>
      </w:divBdr>
    </w:div>
    <w:div w:id="1883711638">
      <w:bodyDiv w:val="1"/>
      <w:marLeft w:val="0"/>
      <w:marRight w:val="0"/>
      <w:marTop w:val="0"/>
      <w:marBottom w:val="0"/>
      <w:divBdr>
        <w:top w:val="none" w:sz="0" w:space="0" w:color="auto"/>
        <w:left w:val="none" w:sz="0" w:space="0" w:color="auto"/>
        <w:bottom w:val="none" w:sz="0" w:space="0" w:color="auto"/>
        <w:right w:val="none" w:sz="0" w:space="0" w:color="auto"/>
      </w:divBdr>
    </w:div>
    <w:div w:id="20900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yfedpowys-pcc.org.uk/en/the-office/strategies-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Report</DocType2>
    <Financial_x0020_Period xmlns="242c32be-31bf-422c-ab0d-7abc8ae381ac">2018/19</Financial_x0020_Period>
    <Estates_x0020_1 xmlns="242c32be-31bf-422c-ab0d-7abc8ae381ac"/>
    <Financial_x0020_Period0 xmlns="242c32be-31bf-422c-ab0d-7abc8ae381ac">Q2</Financial_x0020_Period0>
    <Topic xmlns="242c32be-31bf-422c-ab0d-7abc8ae381ac">Scrutiny</Topic>
    <Month xmlns="242c32be-31bf-422c-ab0d-7abc8ae381ac">Sep</Month>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2021-03-30T23:00:00+00:00</Destruction_x0020_Date>
    <TaxCatchAll xmlns="cf6dc0cf-1d45-4a2f-a37f-b5391cb049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2.xml><?xml version="1.0" encoding="utf-8"?>
<ds:datastoreItem xmlns:ds="http://schemas.openxmlformats.org/officeDocument/2006/customXml" ds:itemID="{9A682E6B-11CA-4871-8D65-6CE2153B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4.xml><?xml version="1.0" encoding="utf-8"?>
<ds:datastoreItem xmlns:ds="http://schemas.openxmlformats.org/officeDocument/2006/customXml" ds:itemID="{F426A924-87E7-4FAC-9E41-12FCDD8ACEAC}">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5.xml><?xml version="1.0" encoding="utf-8"?>
<ds:datastoreItem xmlns:ds="http://schemas.openxmlformats.org/officeDocument/2006/customXml" ds:itemID="{A9F62BD9-92F5-4C16-A332-E747A32F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2730</Words>
  <Characters>14502</Characters>
  <Application>Microsoft Office Word</Application>
  <DocSecurity>0</DocSecurity>
  <Lines>371</Lines>
  <Paragraphs>111</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17121</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Gayther Cheryl</dc:creator>
  <cp:lastModifiedBy>Cronin Donna OPCC</cp:lastModifiedBy>
  <cp:revision>3</cp:revision>
  <cp:lastPrinted>2019-04-12T14:45:00Z</cp:lastPrinted>
  <dcterms:created xsi:type="dcterms:W3CDTF">2021-04-29T10:01:00Z</dcterms:created>
  <dcterms:modified xsi:type="dcterms:W3CDTF">2021-05-17T08:31:00Z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ies>
</file>