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3455" w14:textId="34FE326E" w:rsidR="002D5343" w:rsidRDefault="002D5343" w:rsidP="002D5343">
      <w:pPr>
        <w:pStyle w:val="Header"/>
      </w:pPr>
      <w:r w:rsidRPr="002D5343">
        <w:rPr>
          <w:noProof/>
        </w:rPr>
        <w:drawing>
          <wp:anchor distT="0" distB="0" distL="114300" distR="114300" simplePos="0" relativeHeight="251674624" behindDoc="0" locked="0" layoutInCell="1" allowOverlap="1" wp14:anchorId="71DEAE4F" wp14:editId="2C409180">
            <wp:simplePos x="0" y="0"/>
            <wp:positionH relativeFrom="margin">
              <wp:posOffset>-57150</wp:posOffset>
            </wp:positionH>
            <wp:positionV relativeFrom="paragraph">
              <wp:posOffset>-157480</wp:posOffset>
            </wp:positionV>
            <wp:extent cx="1917700" cy="846455"/>
            <wp:effectExtent l="0" t="0" r="6350" b="0"/>
            <wp:wrapNone/>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700" cy="846455"/>
                    </a:xfrm>
                    <a:prstGeom prst="rect">
                      <a:avLst/>
                    </a:prstGeom>
                  </pic:spPr>
                </pic:pic>
              </a:graphicData>
            </a:graphic>
            <wp14:sizeRelH relativeFrom="margin">
              <wp14:pctWidth>0</wp14:pctWidth>
            </wp14:sizeRelH>
            <wp14:sizeRelV relativeFrom="margin">
              <wp14:pctHeight>0</wp14:pctHeight>
            </wp14:sizeRelV>
          </wp:anchor>
        </w:drawing>
      </w:r>
      <w:r w:rsidRPr="002D5343">
        <w:rPr>
          <w:noProof/>
        </w:rPr>
        <w:drawing>
          <wp:anchor distT="0" distB="0" distL="114300" distR="114300" simplePos="0" relativeHeight="251673600" behindDoc="0" locked="0" layoutInCell="1" allowOverlap="1" wp14:anchorId="0EA718EE" wp14:editId="512E58E8">
            <wp:simplePos x="0" y="0"/>
            <wp:positionH relativeFrom="column">
              <wp:posOffset>2899410</wp:posOffset>
            </wp:positionH>
            <wp:positionV relativeFrom="paragraph">
              <wp:posOffset>-74295</wp:posOffset>
            </wp:positionV>
            <wp:extent cx="2611755" cy="765175"/>
            <wp:effectExtent l="0" t="0" r="0" b="0"/>
            <wp:wrapNone/>
            <wp:docPr id="21" name="Picture 21" descr="C:\Users\54283\AppData\Local\Microsoft\Windows\INetCache\Content.Outlook\M5AJFZ6B\Dyfed Pow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283\AppData\Local\Microsoft\Windows\INetCache\Content.Outlook\M5AJFZ6B\Dyfed Powys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755" cy="765175"/>
                    </a:xfrm>
                    <a:prstGeom prst="rect">
                      <a:avLst/>
                    </a:prstGeom>
                    <a:noFill/>
                    <a:ln>
                      <a:noFill/>
                    </a:ln>
                  </pic:spPr>
                </pic:pic>
              </a:graphicData>
            </a:graphic>
          </wp:anchor>
        </w:drawing>
      </w:r>
    </w:p>
    <w:p w14:paraId="6BC26173" w14:textId="2646107B" w:rsidR="002D5343" w:rsidRDefault="002D5343" w:rsidP="002D5343">
      <w:pPr>
        <w:pStyle w:val="Header"/>
      </w:pPr>
    </w:p>
    <w:p w14:paraId="6C2B5DF3" w14:textId="77777777" w:rsidR="002D5343" w:rsidRDefault="002D5343" w:rsidP="002D5343">
      <w:pPr>
        <w:pStyle w:val="Header"/>
      </w:pPr>
    </w:p>
    <w:p w14:paraId="4D1C39C3" w14:textId="77777777" w:rsidR="002D5343" w:rsidRDefault="002D5343" w:rsidP="002D5343">
      <w:pPr>
        <w:pStyle w:val="Header"/>
      </w:pPr>
    </w:p>
    <w:p w14:paraId="6F03A014" w14:textId="6FCD9CAA" w:rsidR="00417873" w:rsidRPr="002B63DF" w:rsidRDefault="002B63DF" w:rsidP="002B63DF">
      <w:pPr>
        <w:pStyle w:val="Heading2"/>
        <w:ind w:left="-567"/>
        <w:rPr>
          <w:sz w:val="32"/>
          <w:szCs w:val="32"/>
        </w:rPr>
      </w:pPr>
      <w:r w:rsidRPr="004A501B">
        <w:rPr>
          <w:noProof/>
          <w:lang w:eastAsia="en-GB"/>
        </w:rPr>
        <mc:AlternateContent>
          <mc:Choice Requires="wps">
            <w:drawing>
              <wp:anchor distT="0" distB="0" distL="114300" distR="114300" simplePos="0" relativeHeight="251649024" behindDoc="0" locked="0" layoutInCell="1" allowOverlap="1" wp14:anchorId="30C79FBA" wp14:editId="4D450423">
                <wp:simplePos x="0" y="0"/>
                <wp:positionH relativeFrom="column">
                  <wp:posOffset>-333375</wp:posOffset>
                </wp:positionH>
                <wp:positionV relativeFrom="paragraph">
                  <wp:posOffset>356235</wp:posOffset>
                </wp:positionV>
                <wp:extent cx="5961380" cy="400050"/>
                <wp:effectExtent l="0" t="0" r="2032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00050"/>
                        </a:xfrm>
                        <a:prstGeom prst="rect">
                          <a:avLst/>
                        </a:prstGeom>
                        <a:solidFill>
                          <a:schemeClr val="bg1">
                            <a:lumMod val="95000"/>
                          </a:schemeClr>
                        </a:solidFill>
                        <a:ln w="9525">
                          <a:solidFill>
                            <a:srgbClr val="000000"/>
                          </a:solidFill>
                          <a:miter lim="800000"/>
                          <a:headEnd/>
                          <a:tailEnd/>
                        </a:ln>
                      </wps:spPr>
                      <wps:txbx>
                        <w:txbxContent>
                          <w:p w14:paraId="4780A8F3" w14:textId="122E5004" w:rsidR="00C6036C" w:rsidRPr="004A501B" w:rsidRDefault="00C6036C" w:rsidP="002D5343">
                            <w:pPr>
                              <w:rPr>
                                <w:b/>
                              </w:rPr>
                            </w:pPr>
                            <w:r w:rsidRPr="004A501B">
                              <w:rPr>
                                <w:b/>
                              </w:rPr>
                              <w:t xml:space="preserve">PURPOSE: </w:t>
                            </w:r>
                            <w:r w:rsidRPr="002D5343">
                              <w:t>Commissioner DECISION</w:t>
                            </w:r>
                            <w:r w:rsidRPr="004A501B">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79FBA" id="_x0000_t202" coordsize="21600,21600" o:spt="202" path="m,l,21600r21600,l21600,xe">
                <v:stroke joinstyle="miter"/>
                <v:path gradientshapeok="t" o:connecttype="rect"/>
              </v:shapetype>
              <v:shape id="Text Box 2" o:spid="_x0000_s1026" type="#_x0000_t202" style="position:absolute;left:0;text-align:left;margin-left:-26.25pt;margin-top:28.05pt;width:469.4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" fillcolor="#f2f2f2 [3052]">
                <v:textbox>
                  <w:txbxContent>
                    <w:p w14:paraId="4780A8F3" w14:textId="122E5004" w:rsidR="00C6036C" w:rsidRPr="004A501B" w:rsidRDefault="00C6036C" w:rsidP="002D5343">
                      <w:pPr>
                        <w:rPr>
                          <w:b/>
                        </w:rPr>
                      </w:pPr>
                      <w:r w:rsidRPr="004A501B">
                        <w:rPr>
                          <w:b/>
                        </w:rPr>
                        <w:t xml:space="preserve">PURPOSE: </w:t>
                      </w:r>
                      <w:r w:rsidRPr="002D5343">
                        <w:t>Commissioner DECISION</w:t>
                      </w:r>
                      <w:r w:rsidRPr="004A501B">
                        <w:rPr>
                          <w:b/>
                        </w:rPr>
                        <w:t xml:space="preserve"> </w:t>
                      </w:r>
                    </w:p>
                  </w:txbxContent>
                </v:textbox>
              </v:shape>
            </w:pict>
          </mc:Fallback>
        </mc:AlternateContent>
      </w:r>
      <w:r w:rsidR="00AF3824" w:rsidRPr="002B63DF">
        <w:rPr>
          <w:sz w:val="32"/>
          <w:szCs w:val="32"/>
        </w:rPr>
        <w:t>REPORT / SUMMARY DECISION SHEET</w:t>
      </w:r>
    </w:p>
    <w:p w14:paraId="07482A57" w14:textId="7D458A0A" w:rsidR="00D41CA1" w:rsidRPr="004A501B" w:rsidRDefault="00D41CA1" w:rsidP="002D5343">
      <w:pPr>
        <w:pStyle w:val="Header"/>
      </w:pPr>
    </w:p>
    <w:p w14:paraId="768D0AC4" w14:textId="77777777" w:rsidR="00434BA5" w:rsidRPr="004A501B" w:rsidRDefault="00434BA5" w:rsidP="002D5343"/>
    <w:p w14:paraId="6F6EDC74" w14:textId="77777777" w:rsidR="007D216E" w:rsidRPr="004A501B" w:rsidRDefault="00234CD3" w:rsidP="002D5343">
      <w:pPr>
        <w:pStyle w:val="Header"/>
      </w:pPr>
      <w:r w:rsidRPr="004A501B">
        <w:rPr>
          <w:noProof/>
          <w:lang w:eastAsia="en-GB"/>
        </w:rPr>
        <mc:AlternateContent>
          <mc:Choice Requires="wps">
            <w:drawing>
              <wp:anchor distT="0" distB="0" distL="114300" distR="114300" simplePos="0" relativeHeight="251654144" behindDoc="0" locked="0" layoutInCell="1" allowOverlap="1" wp14:anchorId="5040938D" wp14:editId="6CB40474">
                <wp:simplePos x="0" y="0"/>
                <wp:positionH relativeFrom="column">
                  <wp:posOffset>-342900</wp:posOffset>
                </wp:positionH>
                <wp:positionV relativeFrom="paragraph">
                  <wp:posOffset>24130</wp:posOffset>
                </wp:positionV>
                <wp:extent cx="5961380" cy="352425"/>
                <wp:effectExtent l="0" t="0" r="2032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352425"/>
                        </a:xfrm>
                        <a:prstGeom prst="rect">
                          <a:avLst/>
                        </a:prstGeom>
                        <a:solidFill>
                          <a:schemeClr val="bg1">
                            <a:lumMod val="95000"/>
                          </a:schemeClr>
                        </a:solidFill>
                        <a:ln w="9525">
                          <a:solidFill>
                            <a:srgbClr val="000000"/>
                          </a:solidFill>
                          <a:miter lim="800000"/>
                          <a:headEnd/>
                          <a:tailEnd/>
                        </a:ln>
                      </wps:spPr>
                      <wps:txbx>
                        <w:txbxContent>
                          <w:p w14:paraId="43DE8F49" w14:textId="57A3CFE4" w:rsidR="00C6036C" w:rsidRPr="00234CD3" w:rsidRDefault="00C6036C" w:rsidP="002D5343">
                            <w:pPr>
                              <w:rPr>
                                <w:rFonts w:ascii="Verdana" w:hAnsi="Verdana"/>
                                <w:b/>
                                <w:sz w:val="16"/>
                                <w:szCs w:val="16"/>
                              </w:rPr>
                            </w:pPr>
                            <w:r w:rsidRPr="00234CD3">
                              <w:rPr>
                                <w:rFonts w:ascii="Verdana" w:hAnsi="Verdana"/>
                                <w:b/>
                              </w:rPr>
                              <w:t xml:space="preserve">Timing: </w:t>
                            </w:r>
                            <w:r w:rsidRPr="00B21E99">
                              <w:t>Urgent – before the start of the 202</w:t>
                            </w:r>
                            <w:r w:rsidR="00FF48AB">
                              <w:t>3</w:t>
                            </w:r>
                            <w:r w:rsidRPr="00B21E99">
                              <w:t>/2</w:t>
                            </w:r>
                            <w:r w:rsidR="00FF48AB">
                              <w:t>4</w:t>
                            </w:r>
                            <w:r w:rsidRPr="00B21E99">
                              <w:t xml:space="preserve"> financial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0938D" id="_x0000_s1027" type="#_x0000_t202" style="position:absolute;margin-left:-27pt;margin-top:1.9pt;width:469.4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" fillcolor="#f2f2f2 [3052]">
                <v:textbox>
                  <w:txbxContent>
                    <w:p w14:paraId="43DE8F49" w14:textId="57A3CFE4" w:rsidR="00C6036C" w:rsidRPr="00234CD3" w:rsidRDefault="00C6036C" w:rsidP="002D5343">
                      <w:pPr>
                        <w:rPr>
                          <w:rFonts w:ascii="Verdana" w:hAnsi="Verdana"/>
                          <w:b/>
                          <w:sz w:val="16"/>
                          <w:szCs w:val="16"/>
                        </w:rPr>
                      </w:pPr>
                      <w:r w:rsidRPr="00234CD3">
                        <w:rPr>
                          <w:rFonts w:ascii="Verdana" w:hAnsi="Verdana"/>
                          <w:b/>
                        </w:rPr>
                        <w:t xml:space="preserve">Timing: </w:t>
                      </w:r>
                      <w:r w:rsidRPr="00B21E99">
                        <w:t>Urgent – before the start of the 202</w:t>
                      </w:r>
                      <w:r w:rsidR="00FF48AB">
                        <w:t>3</w:t>
                      </w:r>
                      <w:r w:rsidRPr="00B21E99">
                        <w:t>/2</w:t>
                      </w:r>
                      <w:r w:rsidR="00FF48AB">
                        <w:t>4</w:t>
                      </w:r>
                      <w:r w:rsidRPr="00B21E99">
                        <w:t xml:space="preserve"> financial year</w:t>
                      </w:r>
                    </w:p>
                  </w:txbxContent>
                </v:textbox>
              </v:shape>
            </w:pict>
          </mc:Fallback>
        </mc:AlternateContent>
      </w:r>
    </w:p>
    <w:p w14:paraId="0B0C3E63" w14:textId="77777777" w:rsidR="007D216E" w:rsidRPr="004A501B" w:rsidRDefault="007D216E" w:rsidP="002D5343">
      <w:pPr>
        <w:pStyle w:val="Header"/>
      </w:pPr>
    </w:p>
    <w:p w14:paraId="036CAD00" w14:textId="77777777" w:rsidR="00D41CA1" w:rsidRPr="004A501B" w:rsidRDefault="00234CD3" w:rsidP="002D5343">
      <w:pPr>
        <w:pStyle w:val="Header"/>
      </w:pPr>
      <w:r w:rsidRPr="004A501B">
        <w:rPr>
          <w:noProof/>
          <w:lang w:eastAsia="en-GB"/>
        </w:rPr>
        <mc:AlternateContent>
          <mc:Choice Requires="wps">
            <w:drawing>
              <wp:anchor distT="0" distB="0" distL="114300" distR="114300" simplePos="0" relativeHeight="251650048" behindDoc="0" locked="0" layoutInCell="1" allowOverlap="1" wp14:anchorId="6000392B" wp14:editId="53FA41A4">
                <wp:simplePos x="0" y="0"/>
                <wp:positionH relativeFrom="column">
                  <wp:posOffset>-342900</wp:posOffset>
                </wp:positionH>
                <wp:positionV relativeFrom="paragraph">
                  <wp:posOffset>10160</wp:posOffset>
                </wp:positionV>
                <wp:extent cx="5961380" cy="457200"/>
                <wp:effectExtent l="0" t="0" r="2032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57200"/>
                        </a:xfrm>
                        <a:prstGeom prst="rect">
                          <a:avLst/>
                        </a:prstGeom>
                        <a:solidFill>
                          <a:schemeClr val="bg1">
                            <a:lumMod val="95000"/>
                          </a:schemeClr>
                        </a:solidFill>
                        <a:ln w="9525">
                          <a:solidFill>
                            <a:srgbClr val="000000"/>
                          </a:solidFill>
                          <a:miter lim="800000"/>
                          <a:headEnd/>
                          <a:tailEnd/>
                        </a:ln>
                      </wps:spPr>
                      <wps:txbx>
                        <w:txbxContent>
                          <w:p w14:paraId="467393EE" w14:textId="1C831F1D" w:rsidR="00C6036C" w:rsidRPr="00234CD3" w:rsidRDefault="00C6036C" w:rsidP="002D5343">
                            <w:pPr>
                              <w:rPr>
                                <w:rFonts w:ascii="Verdana" w:hAnsi="Verdana"/>
                                <w:b/>
                              </w:rPr>
                            </w:pPr>
                            <w:r w:rsidRPr="00234CD3">
                              <w:rPr>
                                <w:rFonts w:ascii="Verdana" w:hAnsi="Verdana"/>
                                <w:b/>
                              </w:rPr>
                              <w:t xml:space="preserve">Title: </w:t>
                            </w:r>
                            <w:r w:rsidRPr="00B21E99">
                              <w:t>202</w:t>
                            </w:r>
                            <w:r w:rsidR="00FF48AB">
                              <w:t>3</w:t>
                            </w:r>
                            <w:r w:rsidRPr="00B21E99">
                              <w:t>/2</w:t>
                            </w:r>
                            <w:r w:rsidR="00FF48AB">
                              <w:t>4</w:t>
                            </w:r>
                            <w:r w:rsidRPr="00B21E99">
                              <w:t xml:space="preserve"> Treasury Management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0392B" id="_x0000_s1028" type="#_x0000_t202" style="position:absolute;margin-left:-27pt;margin-top:.8pt;width:469.4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" fillcolor="#f2f2f2 [3052]">
                <v:textbox>
                  <w:txbxContent>
                    <w:p w14:paraId="467393EE" w14:textId="1C831F1D" w:rsidR="00C6036C" w:rsidRPr="00234CD3" w:rsidRDefault="00C6036C" w:rsidP="002D5343">
                      <w:pPr>
                        <w:rPr>
                          <w:rFonts w:ascii="Verdana" w:hAnsi="Verdana"/>
                          <w:b/>
                        </w:rPr>
                      </w:pPr>
                      <w:r w:rsidRPr="00234CD3">
                        <w:rPr>
                          <w:rFonts w:ascii="Verdana" w:hAnsi="Verdana"/>
                          <w:b/>
                        </w:rPr>
                        <w:t xml:space="preserve">Title: </w:t>
                      </w:r>
                      <w:r w:rsidRPr="00B21E99">
                        <w:t>202</w:t>
                      </w:r>
                      <w:r w:rsidR="00FF48AB">
                        <w:t>3</w:t>
                      </w:r>
                      <w:r w:rsidRPr="00B21E99">
                        <w:t>/2</w:t>
                      </w:r>
                      <w:r w:rsidR="00FF48AB">
                        <w:t>4</w:t>
                      </w:r>
                      <w:r w:rsidRPr="00B21E99">
                        <w:t xml:space="preserve"> Treasury Management Strategy</w:t>
                      </w:r>
                    </w:p>
                  </w:txbxContent>
                </v:textbox>
              </v:shape>
            </w:pict>
          </mc:Fallback>
        </mc:AlternateContent>
      </w:r>
      <w:r w:rsidR="00560776" w:rsidRPr="004A501B">
        <w:t xml:space="preserve">                            </w:t>
      </w:r>
    </w:p>
    <w:p w14:paraId="7B359C0F" w14:textId="77777777" w:rsidR="00D41CA1" w:rsidRPr="004A501B" w:rsidRDefault="00D41CA1" w:rsidP="002D5343">
      <w:pPr>
        <w:pStyle w:val="Header"/>
      </w:pPr>
    </w:p>
    <w:p w14:paraId="65D1F412" w14:textId="77777777" w:rsidR="00D41CA1" w:rsidRPr="004A501B" w:rsidRDefault="00234CD3" w:rsidP="002D5343">
      <w:pPr>
        <w:pStyle w:val="Header"/>
      </w:pPr>
      <w:r w:rsidRPr="004A501B">
        <w:rPr>
          <w:noProof/>
          <w:lang w:eastAsia="en-GB"/>
        </w:rPr>
        <mc:AlternateContent>
          <mc:Choice Requires="wps">
            <w:drawing>
              <wp:anchor distT="0" distB="0" distL="114300" distR="114300" simplePos="0" relativeHeight="251655168" behindDoc="0" locked="0" layoutInCell="1" allowOverlap="1" wp14:anchorId="64138C08" wp14:editId="200BC5F9">
                <wp:simplePos x="0" y="0"/>
                <wp:positionH relativeFrom="column">
                  <wp:posOffset>-342900</wp:posOffset>
                </wp:positionH>
                <wp:positionV relativeFrom="paragraph">
                  <wp:posOffset>103505</wp:posOffset>
                </wp:positionV>
                <wp:extent cx="5961380" cy="400050"/>
                <wp:effectExtent l="0" t="0" r="2032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00050"/>
                        </a:xfrm>
                        <a:prstGeom prst="rect">
                          <a:avLst/>
                        </a:prstGeom>
                        <a:solidFill>
                          <a:schemeClr val="bg1">
                            <a:lumMod val="95000"/>
                          </a:schemeClr>
                        </a:solidFill>
                        <a:ln w="9525">
                          <a:solidFill>
                            <a:srgbClr val="000000"/>
                          </a:solidFill>
                          <a:miter lim="800000"/>
                          <a:headEnd/>
                          <a:tailEnd/>
                        </a:ln>
                      </wps:spPr>
                      <wps:txbx>
                        <w:txbxContent>
                          <w:p w14:paraId="7E0EF7BD" w14:textId="77777777" w:rsidR="00C6036C" w:rsidRPr="00234CD3" w:rsidRDefault="00C6036C" w:rsidP="002D5343">
                            <w:pPr>
                              <w:rPr>
                                <w:sz w:val="16"/>
                                <w:szCs w:val="16"/>
                              </w:rPr>
                            </w:pPr>
                            <w:r w:rsidRPr="002B63DF">
                              <w:rPr>
                                <w:b/>
                                <w:bCs/>
                              </w:rPr>
                              <w:t>Category of Decision / Business Area Impact</w:t>
                            </w:r>
                            <w:r w:rsidRPr="00234CD3">
                              <w:t xml:space="preserve">: </w:t>
                            </w:r>
                            <w:r w:rsidRPr="002D5343">
                              <w:rPr>
                                <w:bCs/>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38C08" id="_x0000_s1029" type="#_x0000_t202" style="position:absolute;margin-left:-27pt;margin-top:8.15pt;width:469.4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" fillcolor="#f2f2f2 [3052]">
                <v:textbox>
                  <w:txbxContent>
                    <w:p w14:paraId="7E0EF7BD" w14:textId="77777777" w:rsidR="00C6036C" w:rsidRPr="00234CD3" w:rsidRDefault="00C6036C" w:rsidP="002D5343">
                      <w:pPr>
                        <w:rPr>
                          <w:sz w:val="16"/>
                          <w:szCs w:val="16"/>
                        </w:rPr>
                      </w:pPr>
                      <w:r w:rsidRPr="002B63DF">
                        <w:rPr>
                          <w:b/>
                          <w:bCs/>
                        </w:rPr>
                        <w:t>Category of Decision / Business Area Impact</w:t>
                      </w:r>
                      <w:r w:rsidRPr="00234CD3">
                        <w:t xml:space="preserve">: </w:t>
                      </w:r>
                      <w:r w:rsidRPr="002D5343">
                        <w:rPr>
                          <w:bCs/>
                        </w:rPr>
                        <w:t>Finance</w:t>
                      </w:r>
                    </w:p>
                  </w:txbxContent>
                </v:textbox>
              </v:shape>
            </w:pict>
          </mc:Fallback>
        </mc:AlternateContent>
      </w:r>
    </w:p>
    <w:p w14:paraId="428D33E6" w14:textId="7C5A7799" w:rsidR="00D41CA1" w:rsidRPr="004A501B" w:rsidRDefault="00322E5B" w:rsidP="002D5343">
      <w:pPr>
        <w:pStyle w:val="Header"/>
      </w:pPr>
      <w:r w:rsidRPr="004A501B">
        <w:rPr>
          <w:noProof/>
          <w:lang w:eastAsia="en-GB"/>
        </w:rPr>
        <mc:AlternateContent>
          <mc:Choice Requires="wps">
            <w:drawing>
              <wp:anchor distT="0" distB="0" distL="114300" distR="114300" simplePos="0" relativeHeight="251651072" behindDoc="0" locked="0" layoutInCell="1" allowOverlap="1" wp14:anchorId="7CE8A039" wp14:editId="3C934E05">
                <wp:simplePos x="0" y="0"/>
                <wp:positionH relativeFrom="column">
                  <wp:posOffset>-342900</wp:posOffset>
                </wp:positionH>
                <wp:positionV relativeFrom="paragraph">
                  <wp:posOffset>341630</wp:posOffset>
                </wp:positionV>
                <wp:extent cx="5961380" cy="13811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381125"/>
                        </a:xfrm>
                        <a:prstGeom prst="rect">
                          <a:avLst/>
                        </a:prstGeom>
                        <a:solidFill>
                          <a:schemeClr val="bg1">
                            <a:lumMod val="95000"/>
                          </a:schemeClr>
                        </a:solidFill>
                        <a:ln w="9525">
                          <a:solidFill>
                            <a:srgbClr val="000000"/>
                          </a:solidFill>
                          <a:miter lim="800000"/>
                          <a:headEnd/>
                          <a:tailEnd/>
                        </a:ln>
                      </wps:spPr>
                      <wps:txbx>
                        <w:txbxContent>
                          <w:p w14:paraId="6B607E7B" w14:textId="77777777" w:rsidR="00C6036C" w:rsidRPr="002B63DF" w:rsidRDefault="00C6036C" w:rsidP="002D5343">
                            <w:pPr>
                              <w:rPr>
                                <w:b/>
                                <w:bCs/>
                              </w:rPr>
                            </w:pPr>
                            <w:r w:rsidRPr="002B63DF">
                              <w:rPr>
                                <w:b/>
                                <w:bCs/>
                              </w:rPr>
                              <w:t xml:space="preserve">Executive Summary: </w:t>
                            </w:r>
                          </w:p>
                          <w:p w14:paraId="30C18A41" w14:textId="7E687D39" w:rsidR="00C6036C" w:rsidRPr="00B21E99" w:rsidRDefault="00C6036C" w:rsidP="002D5343">
                            <w:r w:rsidRPr="00B21E99">
                              <w:t>This document sets out the Commissioner’s Treasury Management Strategy including Prudential Indicators, Financing Requirement and Minimum Revenue Provision policy for 202</w:t>
                            </w:r>
                            <w:r w:rsidR="00FF48AB">
                              <w:t>3</w:t>
                            </w:r>
                            <w:r w:rsidRPr="00B21E99">
                              <w:t>/2</w:t>
                            </w:r>
                            <w:r w:rsidR="00FF48AB">
                              <w:t>4</w:t>
                            </w:r>
                            <w:r w:rsidRPr="00B21E99">
                              <w:t xml:space="preserve"> following scrutiny at the Joint Audit Committee meeting of the </w:t>
                            </w:r>
                            <w:r w:rsidRPr="00D91423">
                              <w:t>2</w:t>
                            </w:r>
                            <w:r w:rsidR="00D91423" w:rsidRPr="00D91423">
                              <w:t>8</w:t>
                            </w:r>
                            <w:r w:rsidRPr="00D91423">
                              <w:t xml:space="preserve"> March 202</w:t>
                            </w:r>
                            <w:r w:rsidR="00495FD3" w:rsidRPr="00D91423">
                              <w:t>3</w:t>
                            </w:r>
                            <w:r w:rsidRPr="00D91423">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8A039" id="_x0000_s1030" type="#_x0000_t202" style="position:absolute;margin-left:-27pt;margin-top:26.9pt;width:469.4pt;height:10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" fillcolor="#f2f2f2 [3052]">
                <v:textbox>
                  <w:txbxContent>
                    <w:p w14:paraId="6B607E7B" w14:textId="77777777" w:rsidR="00C6036C" w:rsidRPr="002B63DF" w:rsidRDefault="00C6036C" w:rsidP="002D5343">
                      <w:pPr>
                        <w:rPr>
                          <w:b/>
                          <w:bCs/>
                        </w:rPr>
                      </w:pPr>
                      <w:r w:rsidRPr="002B63DF">
                        <w:rPr>
                          <w:b/>
                          <w:bCs/>
                        </w:rPr>
                        <w:t xml:space="preserve">Executive Summary: </w:t>
                      </w:r>
                    </w:p>
                    <w:p w14:paraId="30C18A41" w14:textId="7E687D39" w:rsidR="00C6036C" w:rsidRPr="00B21E99" w:rsidRDefault="00C6036C" w:rsidP="002D5343">
                      <w:r w:rsidRPr="00B21E99">
                        <w:t>This document sets out the Commissioner’s Treasury Management Strategy including Prudential Indicators, Financing Requirement and Minimum Revenue Provision policy for 202</w:t>
                      </w:r>
                      <w:r w:rsidR="00FF48AB">
                        <w:t>3</w:t>
                      </w:r>
                      <w:r w:rsidRPr="00B21E99">
                        <w:t>/2</w:t>
                      </w:r>
                      <w:r w:rsidR="00FF48AB">
                        <w:t>4</w:t>
                      </w:r>
                      <w:r w:rsidRPr="00B21E99">
                        <w:t xml:space="preserve"> following scrutiny at the Joint Audit Committee meeting of the </w:t>
                      </w:r>
                      <w:r w:rsidRPr="00D91423">
                        <w:t>2</w:t>
                      </w:r>
                      <w:r w:rsidR="00D91423" w:rsidRPr="00D91423">
                        <w:t>8</w:t>
                      </w:r>
                      <w:r w:rsidRPr="00D91423">
                        <w:t xml:space="preserve"> March 202</w:t>
                      </w:r>
                      <w:r w:rsidR="00495FD3" w:rsidRPr="00D91423">
                        <w:t>3</w:t>
                      </w:r>
                      <w:r w:rsidRPr="00D91423">
                        <w:t>.</w:t>
                      </w:r>
                    </w:p>
                  </w:txbxContent>
                </v:textbox>
              </v:shape>
            </w:pict>
          </mc:Fallback>
        </mc:AlternateContent>
      </w:r>
    </w:p>
    <w:p w14:paraId="0FB396E6" w14:textId="2EB1F6EC" w:rsidR="00D41CA1" w:rsidRPr="004A501B" w:rsidRDefault="00D41CA1" w:rsidP="002D5343">
      <w:pPr>
        <w:pStyle w:val="Header"/>
      </w:pPr>
    </w:p>
    <w:p w14:paraId="77B0AF06" w14:textId="77777777" w:rsidR="00D41CA1" w:rsidRPr="004A501B" w:rsidRDefault="00D41CA1" w:rsidP="002D5343">
      <w:pPr>
        <w:pStyle w:val="Header"/>
      </w:pPr>
    </w:p>
    <w:p w14:paraId="50375F3B" w14:textId="77777777" w:rsidR="00D41CA1" w:rsidRPr="004A501B" w:rsidRDefault="00D41CA1" w:rsidP="002D5343">
      <w:pPr>
        <w:pStyle w:val="Header"/>
      </w:pPr>
    </w:p>
    <w:p w14:paraId="774D438E" w14:textId="77777777" w:rsidR="00D41CA1" w:rsidRPr="004A501B" w:rsidRDefault="00D41CA1" w:rsidP="002D5343">
      <w:pPr>
        <w:pStyle w:val="Header"/>
      </w:pPr>
    </w:p>
    <w:p w14:paraId="6A2598B8" w14:textId="77777777" w:rsidR="00D41CA1" w:rsidRPr="004A501B" w:rsidRDefault="00D41CA1" w:rsidP="002D5343">
      <w:pPr>
        <w:pStyle w:val="Header"/>
      </w:pPr>
    </w:p>
    <w:p w14:paraId="3F60A7AE" w14:textId="7282780D" w:rsidR="00D41CA1" w:rsidRPr="004A501B" w:rsidRDefault="00FB3AC0" w:rsidP="002D5343">
      <w:pPr>
        <w:pStyle w:val="Header"/>
      </w:pPr>
      <w:r w:rsidRPr="004A501B">
        <w:rPr>
          <w:noProof/>
          <w:lang w:eastAsia="en-GB"/>
        </w:rPr>
        <mc:AlternateContent>
          <mc:Choice Requires="wps">
            <w:drawing>
              <wp:anchor distT="0" distB="0" distL="114300" distR="114300" simplePos="0" relativeHeight="251652096" behindDoc="0" locked="0" layoutInCell="1" allowOverlap="1" wp14:anchorId="575B2656" wp14:editId="7D9CC31E">
                <wp:simplePos x="0" y="0"/>
                <wp:positionH relativeFrom="column">
                  <wp:posOffset>-345558</wp:posOffset>
                </wp:positionH>
                <wp:positionV relativeFrom="paragraph">
                  <wp:posOffset>214660</wp:posOffset>
                </wp:positionV>
                <wp:extent cx="5951855" cy="1265274"/>
                <wp:effectExtent l="0" t="0" r="1079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265274"/>
                        </a:xfrm>
                        <a:prstGeom prst="rect">
                          <a:avLst/>
                        </a:prstGeom>
                        <a:solidFill>
                          <a:schemeClr val="bg1">
                            <a:lumMod val="95000"/>
                          </a:schemeClr>
                        </a:solidFill>
                        <a:ln w="9525">
                          <a:solidFill>
                            <a:srgbClr val="000000"/>
                          </a:solidFill>
                          <a:miter lim="800000"/>
                          <a:headEnd/>
                          <a:tailEnd/>
                        </a:ln>
                      </wps:spPr>
                      <wps:txbx>
                        <w:txbxContent>
                          <w:p w14:paraId="6AE3C9A2" w14:textId="6EB4B71C" w:rsidR="00C6036C" w:rsidRPr="002B63DF" w:rsidRDefault="00C6036C" w:rsidP="002D5343">
                            <w:pPr>
                              <w:rPr>
                                <w:b/>
                                <w:bCs/>
                              </w:rPr>
                            </w:pPr>
                            <w:r w:rsidRPr="002B63DF">
                              <w:rPr>
                                <w:b/>
                                <w:bCs/>
                              </w:rPr>
                              <w:t>Police and Crime Commissioner for Dyfed-Powys</w:t>
                            </w:r>
                          </w:p>
                          <w:p w14:paraId="40EF1092" w14:textId="00A725BE" w:rsidR="00C6036C" w:rsidRDefault="00C6036C" w:rsidP="002D5343">
                            <w:r w:rsidRPr="00B21E99">
                              <w:t xml:space="preserve">I confirm I have considered </w:t>
                            </w:r>
                            <w:proofErr w:type="gramStart"/>
                            <w:r w:rsidRPr="00B21E99">
                              <w:t>whether or not</w:t>
                            </w:r>
                            <w:proofErr w:type="gramEnd"/>
                            <w:r w:rsidRPr="00B21E99">
                              <w:t xml:space="preserve"> I have any personal or prejudicial interest in this matter and take the proposed decision in compliance with the Nolan Principles for Conduct in Public Life.</w:t>
                            </w:r>
                          </w:p>
                          <w:p w14:paraId="275F8CA4" w14:textId="77777777" w:rsidR="00C6036C" w:rsidRPr="00B21E99" w:rsidRDefault="00C6036C" w:rsidP="002D5343"/>
                          <w:p w14:paraId="2E5B894E" w14:textId="77777777" w:rsidR="00C6036C" w:rsidRPr="00B21E99" w:rsidRDefault="00C6036C" w:rsidP="002D5343">
                            <w:r w:rsidRPr="00B21E99">
                              <w:t>The above request has my approval.</w:t>
                            </w:r>
                          </w:p>
                          <w:p w14:paraId="5CE3DE82" w14:textId="77777777" w:rsidR="00C6036C" w:rsidRPr="00D41CA1" w:rsidRDefault="00C6036C" w:rsidP="002D5343"/>
                          <w:p w14:paraId="2CDC0C73" w14:textId="77777777" w:rsidR="00C6036C" w:rsidRPr="00D41CA1" w:rsidRDefault="00C6036C" w:rsidP="002D534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B2656" id="_x0000_s1031" type="#_x0000_t202" style="position:absolute;margin-left:-27.2pt;margin-top:16.9pt;width:468.65pt;height:9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" fillcolor="#f2f2f2 [3052]">
                <v:textbox>
                  <w:txbxContent>
                    <w:p w14:paraId="6AE3C9A2" w14:textId="6EB4B71C" w:rsidR="00C6036C" w:rsidRPr="002B63DF" w:rsidRDefault="00C6036C" w:rsidP="002D5343">
                      <w:pPr>
                        <w:rPr>
                          <w:b/>
                          <w:bCs/>
                        </w:rPr>
                      </w:pPr>
                      <w:r w:rsidRPr="002B63DF">
                        <w:rPr>
                          <w:b/>
                          <w:bCs/>
                        </w:rPr>
                        <w:t>Police and Crime Commissioner for Dyfed-Powys</w:t>
                      </w:r>
                    </w:p>
                    <w:p w14:paraId="40EF1092" w14:textId="00A725BE" w:rsidR="00C6036C" w:rsidRDefault="00C6036C" w:rsidP="002D5343">
                      <w:r w:rsidRPr="00B21E99">
                        <w:t xml:space="preserve">I confirm I have considered </w:t>
                      </w:r>
                      <w:proofErr w:type="gramStart"/>
                      <w:r w:rsidRPr="00B21E99">
                        <w:t>whether or not</w:t>
                      </w:r>
                      <w:proofErr w:type="gramEnd"/>
                      <w:r w:rsidRPr="00B21E99">
                        <w:t xml:space="preserve"> I have any personal or prejudicial interest in this matter and take the proposed decision in compliance with the Nolan Principles for Conduct in Public Life.</w:t>
                      </w:r>
                    </w:p>
                    <w:p w14:paraId="275F8CA4" w14:textId="77777777" w:rsidR="00C6036C" w:rsidRPr="00B21E99" w:rsidRDefault="00C6036C" w:rsidP="002D5343"/>
                    <w:p w14:paraId="2E5B894E" w14:textId="77777777" w:rsidR="00C6036C" w:rsidRPr="00B21E99" w:rsidRDefault="00C6036C" w:rsidP="002D5343">
                      <w:r w:rsidRPr="00B21E99">
                        <w:t>The above request has my approval.</w:t>
                      </w:r>
                    </w:p>
                    <w:p w14:paraId="5CE3DE82" w14:textId="77777777" w:rsidR="00C6036C" w:rsidRPr="00D41CA1" w:rsidRDefault="00C6036C" w:rsidP="002D5343"/>
                    <w:p w14:paraId="2CDC0C73" w14:textId="77777777" w:rsidR="00C6036C" w:rsidRPr="00D41CA1" w:rsidRDefault="00C6036C" w:rsidP="002D5343">
                      <w:r>
                        <w:t xml:space="preserve"> </w:t>
                      </w:r>
                    </w:p>
                  </w:txbxContent>
                </v:textbox>
              </v:shape>
            </w:pict>
          </mc:Fallback>
        </mc:AlternateContent>
      </w:r>
    </w:p>
    <w:p w14:paraId="7A0D9A12" w14:textId="3992B324" w:rsidR="00D41CA1" w:rsidRPr="004A501B" w:rsidRDefault="00D41CA1" w:rsidP="002D5343">
      <w:pPr>
        <w:pStyle w:val="Header"/>
      </w:pPr>
    </w:p>
    <w:p w14:paraId="1F01B147" w14:textId="4EC4E498" w:rsidR="00D41CA1" w:rsidRPr="004A501B" w:rsidRDefault="00D41CA1" w:rsidP="002D5343">
      <w:pPr>
        <w:pStyle w:val="Header"/>
      </w:pPr>
    </w:p>
    <w:p w14:paraId="1EFAAD0A" w14:textId="0985B479" w:rsidR="00D41CA1" w:rsidRPr="004A501B" w:rsidRDefault="00D41CA1" w:rsidP="002D5343">
      <w:pPr>
        <w:pStyle w:val="Header"/>
      </w:pPr>
    </w:p>
    <w:p w14:paraId="11CD0D9C" w14:textId="05A15850" w:rsidR="00D41CA1" w:rsidRPr="004A501B" w:rsidRDefault="00D41CA1" w:rsidP="002D5343">
      <w:pPr>
        <w:pStyle w:val="Header"/>
      </w:pPr>
    </w:p>
    <w:p w14:paraId="028FDD43" w14:textId="10B73746" w:rsidR="00D41CA1" w:rsidRPr="004A501B" w:rsidRDefault="00D41CA1" w:rsidP="002D5343">
      <w:pPr>
        <w:pStyle w:val="Header"/>
      </w:pPr>
    </w:p>
    <w:p w14:paraId="13D7E533" w14:textId="246E8DB8" w:rsidR="00D41CA1" w:rsidRPr="004A501B" w:rsidRDefault="00FB3AC0" w:rsidP="002D5343">
      <w:pPr>
        <w:pStyle w:val="Header"/>
      </w:pPr>
      <w:r w:rsidRPr="004A501B">
        <w:rPr>
          <w:noProof/>
          <w:lang w:eastAsia="en-GB"/>
        </w:rPr>
        <mc:AlternateContent>
          <mc:Choice Requires="wps">
            <w:drawing>
              <wp:anchor distT="0" distB="0" distL="114300" distR="114300" simplePos="0" relativeHeight="251653120" behindDoc="0" locked="0" layoutInCell="1" allowOverlap="1" wp14:anchorId="022D49C3" wp14:editId="50EB5BE9">
                <wp:simplePos x="0" y="0"/>
                <wp:positionH relativeFrom="column">
                  <wp:posOffset>-333375</wp:posOffset>
                </wp:positionH>
                <wp:positionV relativeFrom="paragraph">
                  <wp:posOffset>153670</wp:posOffset>
                </wp:positionV>
                <wp:extent cx="5942330" cy="108585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085850"/>
                        </a:xfrm>
                        <a:prstGeom prst="rect">
                          <a:avLst/>
                        </a:prstGeom>
                        <a:solidFill>
                          <a:schemeClr val="bg1">
                            <a:lumMod val="95000"/>
                          </a:schemeClr>
                        </a:solidFill>
                        <a:ln w="9525">
                          <a:solidFill>
                            <a:srgbClr val="000000"/>
                          </a:solidFill>
                          <a:miter lim="800000"/>
                          <a:headEnd/>
                          <a:tailEnd/>
                        </a:ln>
                      </wps:spPr>
                      <wps:txbx>
                        <w:txbxContent>
                          <w:p w14:paraId="0D6730DC" w14:textId="4B64C84E" w:rsidR="00C6036C" w:rsidRPr="00234CD3" w:rsidRDefault="00C6036C" w:rsidP="002D5343">
                            <w:r w:rsidRPr="002B63DF">
                              <w:rPr>
                                <w:b/>
                                <w:bCs/>
                              </w:rPr>
                              <w:t>Signature:</w:t>
                            </w:r>
                            <w:r w:rsidRPr="00234CD3">
                              <w:tab/>
                            </w:r>
                            <w:r w:rsidRPr="00234CD3">
                              <w:tab/>
                            </w:r>
                            <w:r w:rsidRPr="00234CD3">
                              <w:tab/>
                            </w:r>
                            <w:r w:rsidRPr="00234CD3">
                              <w:tab/>
                            </w:r>
                            <w:r w:rsidRPr="00234CD3">
                              <w:tab/>
                            </w:r>
                            <w:r w:rsidRPr="00234CD3">
                              <w:tab/>
                            </w:r>
                            <w:r w:rsidRPr="002B63DF">
                              <w:rPr>
                                <w:b/>
                                <w:bCs/>
                              </w:rPr>
                              <w:t>Date:</w:t>
                            </w:r>
                            <w:r>
                              <w:t xml:space="preserve"> </w:t>
                            </w:r>
                            <w:r w:rsidRPr="00D91423">
                              <w:t>2</w:t>
                            </w:r>
                            <w:r w:rsidR="00D91423" w:rsidRPr="00D91423">
                              <w:t>8</w:t>
                            </w:r>
                            <w:r w:rsidRPr="00D91423">
                              <w:t xml:space="preserve"> March 202</w:t>
                            </w:r>
                            <w:r w:rsidR="00495FD3" w:rsidRPr="00D91423">
                              <w:t>3</w:t>
                            </w:r>
                          </w:p>
                          <w:p w14:paraId="4ACA19F9" w14:textId="77777777" w:rsidR="00C6036C" w:rsidRPr="00234CD3" w:rsidRDefault="00C6036C" w:rsidP="002D5343"/>
                          <w:p w14:paraId="46534C2F" w14:textId="77777777" w:rsidR="00C6036C" w:rsidRPr="00D41CA1" w:rsidRDefault="00C6036C" w:rsidP="002D53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D49C3" id="_x0000_s1032" type="#_x0000_t202" style="position:absolute;margin-left:-26.25pt;margin-top:12.1pt;width:467.9pt;height: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" fillcolor="#f2f2f2 [3052]">
                <v:textbox>
                  <w:txbxContent>
                    <w:p w14:paraId="0D6730DC" w14:textId="4B64C84E" w:rsidR="00C6036C" w:rsidRPr="00234CD3" w:rsidRDefault="00C6036C" w:rsidP="002D5343">
                      <w:r w:rsidRPr="002B63DF">
                        <w:rPr>
                          <w:b/>
                          <w:bCs/>
                        </w:rPr>
                        <w:t>Signature:</w:t>
                      </w:r>
                      <w:r w:rsidRPr="00234CD3">
                        <w:tab/>
                      </w:r>
                      <w:r w:rsidRPr="00234CD3">
                        <w:tab/>
                      </w:r>
                      <w:r w:rsidRPr="00234CD3">
                        <w:tab/>
                      </w:r>
                      <w:r w:rsidRPr="00234CD3">
                        <w:tab/>
                      </w:r>
                      <w:r w:rsidRPr="00234CD3">
                        <w:tab/>
                      </w:r>
                      <w:r w:rsidRPr="00234CD3">
                        <w:tab/>
                      </w:r>
                      <w:r w:rsidRPr="002B63DF">
                        <w:rPr>
                          <w:b/>
                          <w:bCs/>
                        </w:rPr>
                        <w:t>Date:</w:t>
                      </w:r>
                      <w:r>
                        <w:t xml:space="preserve"> </w:t>
                      </w:r>
                      <w:r w:rsidRPr="00D91423">
                        <w:t>2</w:t>
                      </w:r>
                      <w:r w:rsidR="00D91423" w:rsidRPr="00D91423">
                        <w:t>8</w:t>
                      </w:r>
                      <w:r w:rsidRPr="00D91423">
                        <w:t xml:space="preserve"> March 202</w:t>
                      </w:r>
                      <w:r w:rsidR="00495FD3" w:rsidRPr="00D91423">
                        <w:t>3</w:t>
                      </w:r>
                    </w:p>
                    <w:p w14:paraId="4ACA19F9" w14:textId="77777777" w:rsidR="00C6036C" w:rsidRPr="00234CD3" w:rsidRDefault="00C6036C" w:rsidP="002D5343"/>
                    <w:p w14:paraId="46534C2F" w14:textId="77777777" w:rsidR="00C6036C" w:rsidRPr="00D41CA1" w:rsidRDefault="00C6036C" w:rsidP="002D5343"/>
                  </w:txbxContent>
                </v:textbox>
              </v:shape>
            </w:pict>
          </mc:Fallback>
        </mc:AlternateContent>
      </w:r>
    </w:p>
    <w:p w14:paraId="5C807FEF" w14:textId="62040E7C" w:rsidR="00D41CA1" w:rsidRPr="004A501B" w:rsidRDefault="00D41CA1" w:rsidP="002D5343">
      <w:pPr>
        <w:pStyle w:val="Header"/>
      </w:pPr>
    </w:p>
    <w:p w14:paraId="48B8ECAF" w14:textId="4DE0FD65" w:rsidR="00D41CA1" w:rsidRPr="004A501B" w:rsidRDefault="00D41CA1" w:rsidP="002D5343">
      <w:pPr>
        <w:pStyle w:val="Header"/>
      </w:pPr>
    </w:p>
    <w:p w14:paraId="795CCEE3" w14:textId="65F6F6F0" w:rsidR="00D41CA1" w:rsidRPr="004A501B" w:rsidRDefault="00D41CA1" w:rsidP="002D5343">
      <w:pPr>
        <w:pStyle w:val="Header"/>
      </w:pPr>
    </w:p>
    <w:p w14:paraId="7879C815" w14:textId="06527566" w:rsidR="00D41CA1" w:rsidRPr="004A501B" w:rsidRDefault="00D41CA1" w:rsidP="002D5343">
      <w:pPr>
        <w:pStyle w:val="Header"/>
      </w:pPr>
    </w:p>
    <w:p w14:paraId="72FDC3F0" w14:textId="69B5D46E" w:rsidR="00D41CA1" w:rsidRPr="004A501B" w:rsidRDefault="00D41CA1" w:rsidP="002D5343">
      <w:pPr>
        <w:pStyle w:val="Header"/>
      </w:pPr>
    </w:p>
    <w:p w14:paraId="0C52C733" w14:textId="7C7B5913" w:rsidR="00D41CA1" w:rsidRPr="004A501B" w:rsidRDefault="00D41CA1" w:rsidP="002D5343">
      <w:pPr>
        <w:pStyle w:val="Header"/>
      </w:pPr>
    </w:p>
    <w:p w14:paraId="5EB0B07D" w14:textId="5E1F466E" w:rsidR="00D41CA1" w:rsidRPr="004A501B" w:rsidRDefault="00D41CA1" w:rsidP="002D5343">
      <w:pPr>
        <w:pStyle w:val="Header"/>
      </w:pPr>
    </w:p>
    <w:p w14:paraId="3B6F97C2" w14:textId="77777777" w:rsidR="002F498E" w:rsidRPr="004A501B" w:rsidRDefault="00ED6288" w:rsidP="002D5343">
      <w:pPr>
        <w:pStyle w:val="Header"/>
        <w:rPr>
          <w:noProof/>
          <w:lang w:eastAsia="en-GB"/>
        </w:rPr>
      </w:pPr>
      <w:r w:rsidRPr="004A501B">
        <w:rPr>
          <w:noProof/>
          <w:lang w:eastAsia="en-GB"/>
        </w:rPr>
        <w:tab/>
        <w:t xml:space="preserve">  </w:t>
      </w:r>
      <w:r w:rsidRPr="004A501B">
        <w:rPr>
          <w:noProof/>
          <w:lang w:eastAsia="en-GB"/>
        </w:rPr>
        <w:tab/>
      </w:r>
    </w:p>
    <w:p w14:paraId="759FDF24" w14:textId="7031D9B3" w:rsidR="00ED6288" w:rsidRDefault="00ED6288" w:rsidP="002D5343">
      <w:pPr>
        <w:pStyle w:val="Header"/>
      </w:pPr>
    </w:p>
    <w:p w14:paraId="4379A2FC" w14:textId="77777777" w:rsidR="00FB3AC0" w:rsidRPr="004A501B" w:rsidRDefault="00FB3AC0" w:rsidP="002D5343">
      <w:pPr>
        <w:pStyle w:val="Header"/>
      </w:pPr>
    </w:p>
    <w:p w14:paraId="114071A6" w14:textId="0A28039F" w:rsidR="00ED6288" w:rsidRPr="004A501B" w:rsidRDefault="002B63DF" w:rsidP="002D5343">
      <w:pPr>
        <w:pStyle w:val="Header"/>
      </w:pPr>
      <w:r w:rsidRPr="002D5343">
        <w:rPr>
          <w:noProof/>
        </w:rPr>
        <w:drawing>
          <wp:anchor distT="0" distB="0" distL="114300" distR="114300" simplePos="0" relativeHeight="251670528" behindDoc="0" locked="0" layoutInCell="1" allowOverlap="1" wp14:anchorId="6FD5A9F0" wp14:editId="4843CE5A">
            <wp:simplePos x="0" y="0"/>
            <wp:positionH relativeFrom="column">
              <wp:posOffset>2899410</wp:posOffset>
            </wp:positionH>
            <wp:positionV relativeFrom="paragraph">
              <wp:posOffset>-589280</wp:posOffset>
            </wp:positionV>
            <wp:extent cx="2611755" cy="765175"/>
            <wp:effectExtent l="0" t="0" r="0" b="0"/>
            <wp:wrapNone/>
            <wp:docPr id="22" name="Picture 22" descr="C:\Users\54283\AppData\Local\Microsoft\Windows\INetCache\Content.Outlook\M5AJFZ6B\Dyfed Pow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283\AppData\Local\Microsoft\Windows\INetCache\Content.Outlook\M5AJFZ6B\Dyfed Powys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755" cy="765175"/>
                    </a:xfrm>
                    <a:prstGeom prst="rect">
                      <a:avLst/>
                    </a:prstGeom>
                    <a:noFill/>
                    <a:ln>
                      <a:noFill/>
                    </a:ln>
                  </pic:spPr>
                </pic:pic>
              </a:graphicData>
            </a:graphic>
          </wp:anchor>
        </w:drawing>
      </w:r>
      <w:r w:rsidRPr="002D5343">
        <w:rPr>
          <w:noProof/>
        </w:rPr>
        <w:drawing>
          <wp:anchor distT="0" distB="0" distL="114300" distR="114300" simplePos="0" relativeHeight="251671552" behindDoc="0" locked="0" layoutInCell="1" allowOverlap="1" wp14:anchorId="63E27C67" wp14:editId="1B2B85A2">
            <wp:simplePos x="0" y="0"/>
            <wp:positionH relativeFrom="margin">
              <wp:posOffset>-161925</wp:posOffset>
            </wp:positionH>
            <wp:positionV relativeFrom="paragraph">
              <wp:posOffset>-664210</wp:posOffset>
            </wp:positionV>
            <wp:extent cx="1918086" cy="846455"/>
            <wp:effectExtent l="0" t="0" r="6350" b="0"/>
            <wp:wrapNone/>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8086" cy="846455"/>
                    </a:xfrm>
                    <a:prstGeom prst="rect">
                      <a:avLst/>
                    </a:prstGeom>
                  </pic:spPr>
                </pic:pic>
              </a:graphicData>
            </a:graphic>
            <wp14:sizeRelH relativeFrom="margin">
              <wp14:pctWidth>0</wp14:pctWidth>
            </wp14:sizeRelH>
            <wp14:sizeRelV relativeFrom="margin">
              <wp14:pctHeight>0</wp14:pctHeight>
            </wp14:sizeRelV>
          </wp:anchor>
        </w:drawing>
      </w:r>
    </w:p>
    <w:p w14:paraId="496D526B" w14:textId="14C8AA49" w:rsidR="00ED6288" w:rsidRPr="004A501B" w:rsidRDefault="002B63DF" w:rsidP="002D5343">
      <w:pPr>
        <w:pStyle w:val="Header"/>
      </w:pPr>
      <w:r w:rsidRPr="004A501B">
        <w:rPr>
          <w:noProof/>
          <w:lang w:eastAsia="en-GB"/>
        </w:rPr>
        <mc:AlternateContent>
          <mc:Choice Requires="wps">
            <w:drawing>
              <wp:anchor distT="0" distB="0" distL="114300" distR="114300" simplePos="0" relativeHeight="251658240" behindDoc="0" locked="0" layoutInCell="1" allowOverlap="1" wp14:anchorId="5FBDC4FE" wp14:editId="7F138F25">
                <wp:simplePos x="0" y="0"/>
                <wp:positionH relativeFrom="column">
                  <wp:posOffset>-342900</wp:posOffset>
                </wp:positionH>
                <wp:positionV relativeFrom="paragraph">
                  <wp:posOffset>267335</wp:posOffset>
                </wp:positionV>
                <wp:extent cx="5961380" cy="409575"/>
                <wp:effectExtent l="0" t="0" r="2032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09575"/>
                        </a:xfrm>
                        <a:prstGeom prst="rect">
                          <a:avLst/>
                        </a:prstGeom>
                        <a:solidFill>
                          <a:schemeClr val="bg1">
                            <a:lumMod val="95000"/>
                          </a:schemeClr>
                        </a:solidFill>
                        <a:ln w="9525">
                          <a:solidFill>
                            <a:srgbClr val="000000"/>
                          </a:solidFill>
                          <a:miter lim="800000"/>
                          <a:headEnd/>
                          <a:tailEnd/>
                        </a:ln>
                      </wps:spPr>
                      <wps:txbx>
                        <w:txbxContent>
                          <w:p w14:paraId="4FEF80BD" w14:textId="77777777" w:rsidR="00C6036C" w:rsidRPr="00D41CA1" w:rsidRDefault="00C6036C" w:rsidP="002D5343">
                            <w:pPr>
                              <w:rPr>
                                <w:b/>
                              </w:rPr>
                            </w:pPr>
                            <w:r>
                              <w:rPr>
                                <w:b/>
                              </w:rPr>
                              <w:t>PURPOSE:</w:t>
                            </w:r>
                            <w:r w:rsidRPr="00D41CA1">
                              <w:rPr>
                                <w:b/>
                              </w:rPr>
                              <w:t xml:space="preserve"> </w:t>
                            </w:r>
                            <w:r>
                              <w:t>JOINT AUDIT COMMITTEE</w:t>
                            </w:r>
                            <w:r w:rsidRPr="00081FA7">
                              <w:t xml:space="preserve"> SCRUTINY</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DC4FE" id="_x0000_s1033" type="#_x0000_t202" style="position:absolute;margin-left:-27pt;margin-top:21.05pt;width:469.4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" fillcolor="#f2f2f2 [3052]">
                <v:textbox>
                  <w:txbxContent>
                    <w:p w14:paraId="4FEF80BD" w14:textId="77777777" w:rsidR="00C6036C" w:rsidRPr="00D41CA1" w:rsidRDefault="00C6036C" w:rsidP="002D5343">
                      <w:pPr>
                        <w:rPr>
                          <w:b/>
                        </w:rPr>
                      </w:pPr>
                      <w:r>
                        <w:rPr>
                          <w:b/>
                        </w:rPr>
                        <w:t>PURPOSE:</w:t>
                      </w:r>
                      <w:r w:rsidRPr="00D41CA1">
                        <w:rPr>
                          <w:b/>
                        </w:rPr>
                        <w:t xml:space="preserve"> </w:t>
                      </w:r>
                      <w:r>
                        <w:t>JOINT AUDIT COMMITTEE</w:t>
                      </w:r>
                      <w:r w:rsidRPr="00081FA7">
                        <w:t xml:space="preserve"> SCRUTINY</w:t>
                      </w:r>
                      <w:r>
                        <w:rPr>
                          <w:b/>
                        </w:rPr>
                        <w:t xml:space="preserve"> </w:t>
                      </w:r>
                    </w:p>
                  </w:txbxContent>
                </v:textbox>
              </v:shape>
            </w:pict>
          </mc:Fallback>
        </mc:AlternateContent>
      </w:r>
    </w:p>
    <w:p w14:paraId="01FFBEB2" w14:textId="3EE2905A" w:rsidR="00ED6288" w:rsidRPr="004A501B" w:rsidRDefault="00ED6288" w:rsidP="002D5343">
      <w:pPr>
        <w:pStyle w:val="Header"/>
        <w:rPr>
          <w:rFonts w:ascii="Arial" w:hAnsi="Arial"/>
        </w:rPr>
      </w:pPr>
    </w:p>
    <w:p w14:paraId="4B4374C0" w14:textId="18F3C76B" w:rsidR="00ED6288" w:rsidRPr="004A501B" w:rsidRDefault="002B63DF" w:rsidP="002D5343">
      <w:r w:rsidRPr="004A501B">
        <w:rPr>
          <w:noProof/>
          <w:lang w:eastAsia="en-GB"/>
        </w:rPr>
        <mc:AlternateContent>
          <mc:Choice Requires="wps">
            <w:drawing>
              <wp:anchor distT="0" distB="0" distL="114300" distR="114300" simplePos="0" relativeHeight="251662336" behindDoc="0" locked="0" layoutInCell="1" allowOverlap="1" wp14:anchorId="0F40D637" wp14:editId="1DC2357D">
                <wp:simplePos x="0" y="0"/>
                <wp:positionH relativeFrom="column">
                  <wp:posOffset>-342900</wp:posOffset>
                </wp:positionH>
                <wp:positionV relativeFrom="paragraph">
                  <wp:posOffset>234950</wp:posOffset>
                </wp:positionV>
                <wp:extent cx="5961380" cy="419100"/>
                <wp:effectExtent l="0" t="0" r="20320" b="190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19100"/>
                        </a:xfrm>
                        <a:prstGeom prst="rect">
                          <a:avLst/>
                        </a:prstGeom>
                        <a:solidFill>
                          <a:schemeClr val="bg1">
                            <a:lumMod val="95000"/>
                          </a:schemeClr>
                        </a:solidFill>
                        <a:ln w="9525">
                          <a:solidFill>
                            <a:srgbClr val="000000"/>
                          </a:solidFill>
                          <a:miter lim="800000"/>
                          <a:headEnd/>
                          <a:tailEnd/>
                        </a:ln>
                      </wps:spPr>
                      <wps:txbx>
                        <w:txbxContent>
                          <w:p w14:paraId="2C534337" w14:textId="32F72ADD" w:rsidR="00C6036C" w:rsidRDefault="00C6036C" w:rsidP="002D5343">
                            <w:r w:rsidRPr="002B63DF">
                              <w:rPr>
                                <w:b/>
                                <w:bCs/>
                              </w:rPr>
                              <w:t>Timing:</w:t>
                            </w:r>
                            <w:r>
                              <w:t xml:space="preserve"> Prior to start of 202</w:t>
                            </w:r>
                            <w:r w:rsidR="00FF48AB">
                              <w:t>3</w:t>
                            </w:r>
                            <w:r w:rsidRPr="00FB2685">
                              <w:t>/2</w:t>
                            </w:r>
                            <w:r w:rsidR="00FF48AB">
                              <w:t>4</w:t>
                            </w:r>
                            <w:r>
                              <w:t xml:space="preserve"> Financial Year</w:t>
                            </w:r>
                          </w:p>
                          <w:p w14:paraId="11465246" w14:textId="77777777" w:rsidR="00C6036C" w:rsidRPr="00A352CD" w:rsidRDefault="00C6036C" w:rsidP="002D53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0D637" id="Text Box 11" o:spid="_x0000_s1034" type="#_x0000_t202" style="position:absolute;margin-left:-27pt;margin-top:18.5pt;width:469.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" fillcolor="#f2f2f2 [3052]">
                <v:textbox>
                  <w:txbxContent>
                    <w:p w14:paraId="2C534337" w14:textId="32F72ADD" w:rsidR="00C6036C" w:rsidRDefault="00C6036C" w:rsidP="002D5343">
                      <w:r w:rsidRPr="002B63DF">
                        <w:rPr>
                          <w:b/>
                          <w:bCs/>
                        </w:rPr>
                        <w:t>Timing:</w:t>
                      </w:r>
                      <w:r>
                        <w:t xml:space="preserve"> Prior to start of 202</w:t>
                      </w:r>
                      <w:r w:rsidR="00FF48AB">
                        <w:t>3</w:t>
                      </w:r>
                      <w:r w:rsidRPr="00FB2685">
                        <w:t>/2</w:t>
                      </w:r>
                      <w:r w:rsidR="00FF48AB">
                        <w:t>4</w:t>
                      </w:r>
                      <w:r>
                        <w:t xml:space="preserve"> Financial Year</w:t>
                      </w:r>
                    </w:p>
                    <w:p w14:paraId="11465246" w14:textId="77777777" w:rsidR="00C6036C" w:rsidRPr="00A352CD" w:rsidRDefault="00C6036C" w:rsidP="002D5343"/>
                  </w:txbxContent>
                </v:textbox>
              </v:shape>
            </w:pict>
          </mc:Fallback>
        </mc:AlternateContent>
      </w:r>
    </w:p>
    <w:p w14:paraId="75E2CB88" w14:textId="4375CAD9" w:rsidR="00ED6288" w:rsidRPr="004A501B" w:rsidRDefault="00ED6288" w:rsidP="002D5343">
      <w:pPr>
        <w:pStyle w:val="Header"/>
      </w:pPr>
    </w:p>
    <w:p w14:paraId="18A712D3" w14:textId="6302FB36" w:rsidR="00ED6288" w:rsidRPr="004A501B" w:rsidRDefault="00FB3AC0" w:rsidP="002D5343">
      <w:pPr>
        <w:pStyle w:val="Header"/>
      </w:pPr>
      <w:r w:rsidRPr="004A501B">
        <w:rPr>
          <w:noProof/>
          <w:lang w:eastAsia="en-GB"/>
        </w:rPr>
        <mc:AlternateContent>
          <mc:Choice Requires="wps">
            <w:drawing>
              <wp:anchor distT="0" distB="0" distL="114300" distR="114300" simplePos="0" relativeHeight="251659264" behindDoc="0" locked="0" layoutInCell="1" allowOverlap="1" wp14:anchorId="11AD72ED" wp14:editId="09C13F80">
                <wp:simplePos x="0" y="0"/>
                <wp:positionH relativeFrom="column">
                  <wp:posOffset>-342900</wp:posOffset>
                </wp:positionH>
                <wp:positionV relativeFrom="paragraph">
                  <wp:posOffset>226695</wp:posOffset>
                </wp:positionV>
                <wp:extent cx="5961380" cy="428625"/>
                <wp:effectExtent l="0" t="0" r="20320" b="285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28625"/>
                        </a:xfrm>
                        <a:prstGeom prst="rect">
                          <a:avLst/>
                        </a:prstGeom>
                        <a:solidFill>
                          <a:schemeClr val="bg1">
                            <a:lumMod val="95000"/>
                          </a:schemeClr>
                        </a:solidFill>
                        <a:ln w="9525">
                          <a:solidFill>
                            <a:srgbClr val="000000"/>
                          </a:solidFill>
                          <a:miter lim="800000"/>
                          <a:headEnd/>
                          <a:tailEnd/>
                        </a:ln>
                      </wps:spPr>
                      <wps:txbx>
                        <w:txbxContent>
                          <w:p w14:paraId="0FD5016B" w14:textId="3600A161" w:rsidR="00C6036C" w:rsidRPr="00B105ED" w:rsidRDefault="00C6036C" w:rsidP="002D5343">
                            <w:r>
                              <w:rPr>
                                <w:b/>
                              </w:rPr>
                              <w:t xml:space="preserve">Title: </w:t>
                            </w:r>
                            <w:r w:rsidRPr="00B105ED">
                              <w:t xml:space="preserve">Treasury </w:t>
                            </w:r>
                            <w:r>
                              <w:t>Management Strategy Statement for 202</w:t>
                            </w:r>
                            <w:r w:rsidR="00FF48AB">
                              <w:t>3</w:t>
                            </w:r>
                            <w:r w:rsidRPr="00FB2685">
                              <w:t>/2</w:t>
                            </w:r>
                            <w:r w:rsidR="00FF48AB">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D72ED" id="Text Box 5" o:spid="_x0000_s1035" type="#_x0000_t202" style="position:absolute;margin-left:-27pt;margin-top:17.85pt;width:469.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" fillcolor="#f2f2f2 [3052]">
                <v:textbox>
                  <w:txbxContent>
                    <w:p w14:paraId="0FD5016B" w14:textId="3600A161" w:rsidR="00C6036C" w:rsidRPr="00B105ED" w:rsidRDefault="00C6036C" w:rsidP="002D5343">
                      <w:r>
                        <w:rPr>
                          <w:b/>
                        </w:rPr>
                        <w:t xml:space="preserve">Title: </w:t>
                      </w:r>
                      <w:r w:rsidRPr="00B105ED">
                        <w:t xml:space="preserve">Treasury </w:t>
                      </w:r>
                      <w:r>
                        <w:t>Management Strategy Statement for 202</w:t>
                      </w:r>
                      <w:r w:rsidR="00FF48AB">
                        <w:t>3</w:t>
                      </w:r>
                      <w:r w:rsidRPr="00FB2685">
                        <w:t>/2</w:t>
                      </w:r>
                      <w:r w:rsidR="00FF48AB">
                        <w:t>4</w:t>
                      </w:r>
                    </w:p>
                  </w:txbxContent>
                </v:textbox>
              </v:shape>
            </w:pict>
          </mc:Fallback>
        </mc:AlternateContent>
      </w:r>
    </w:p>
    <w:p w14:paraId="5C89EA37" w14:textId="6413B491" w:rsidR="00ED6288" w:rsidRPr="004A501B" w:rsidRDefault="00ED6288" w:rsidP="002D5343">
      <w:pPr>
        <w:pStyle w:val="Header"/>
      </w:pPr>
    </w:p>
    <w:p w14:paraId="31EB1759" w14:textId="4F052B36" w:rsidR="00ED6288" w:rsidRPr="004A501B" w:rsidRDefault="00ED6288" w:rsidP="002D5343">
      <w:pPr>
        <w:pStyle w:val="Header"/>
      </w:pPr>
    </w:p>
    <w:p w14:paraId="22EB833B" w14:textId="33E35FFA" w:rsidR="00ED6288" w:rsidRPr="004A501B" w:rsidRDefault="00ED6288" w:rsidP="002D5343">
      <w:pPr>
        <w:pStyle w:val="Header"/>
      </w:pPr>
      <w:r w:rsidRPr="004A501B">
        <w:t xml:space="preserve">                            </w:t>
      </w:r>
    </w:p>
    <w:p w14:paraId="4016365D" w14:textId="5D72CFB0" w:rsidR="00ED6288" w:rsidRPr="004A501B" w:rsidRDefault="00FB3AC0" w:rsidP="002D5343">
      <w:pPr>
        <w:pStyle w:val="Header"/>
      </w:pPr>
      <w:r w:rsidRPr="004A501B">
        <w:rPr>
          <w:noProof/>
          <w:lang w:eastAsia="en-GB"/>
        </w:rPr>
        <mc:AlternateContent>
          <mc:Choice Requires="wps">
            <w:drawing>
              <wp:anchor distT="0" distB="0" distL="114300" distR="114300" simplePos="0" relativeHeight="251653632" behindDoc="0" locked="0" layoutInCell="1" allowOverlap="1" wp14:anchorId="65E35E54" wp14:editId="00E46A5C">
                <wp:simplePos x="0" y="0"/>
                <wp:positionH relativeFrom="column">
                  <wp:posOffset>-342901</wp:posOffset>
                </wp:positionH>
                <wp:positionV relativeFrom="paragraph">
                  <wp:posOffset>191135</wp:posOffset>
                </wp:positionV>
                <wp:extent cx="6543675" cy="8943975"/>
                <wp:effectExtent l="0" t="0" r="28575" b="285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943975"/>
                        </a:xfrm>
                        <a:prstGeom prst="rect">
                          <a:avLst/>
                        </a:prstGeom>
                        <a:solidFill>
                          <a:schemeClr val="bg1">
                            <a:lumMod val="95000"/>
                          </a:schemeClr>
                        </a:solidFill>
                        <a:ln w="9525">
                          <a:solidFill>
                            <a:srgbClr val="000000"/>
                          </a:solidFill>
                          <a:miter lim="800000"/>
                          <a:headEnd/>
                          <a:tailEnd/>
                        </a:ln>
                      </wps:spPr>
                      <wps:txbx>
                        <w:txbxContent>
                          <w:p w14:paraId="060F6BD7" w14:textId="4DB08812" w:rsidR="00C6036C" w:rsidRPr="00B21E99" w:rsidRDefault="00C6036C" w:rsidP="002D5343">
                            <w:r w:rsidRPr="002B63DF">
                              <w:rPr>
                                <w:b/>
                                <w:bCs/>
                              </w:rPr>
                              <w:t xml:space="preserve">Executive Summary: </w:t>
                            </w:r>
                            <w:r w:rsidRPr="00B21E99">
                              <w:t>The Home Office Financial Management Code of Practice states that the Police and Crime Commissioner (Commissioner) is directly responsible for loans, investments and for borrowing money. The Chief Finance Officer of the Commissioner should decide what investments are to be made locally and approve any borrowing. Decisions on Capital Financing and Borrowing also form part of the Commissioner’s responsibility.</w:t>
                            </w:r>
                          </w:p>
                          <w:p w14:paraId="18A8DAFE" w14:textId="77777777" w:rsidR="00C6036C" w:rsidRPr="00B21E99" w:rsidRDefault="00C6036C" w:rsidP="002D5343">
                            <w:r w:rsidRPr="00B21E99">
                              <w:t xml:space="preserve">Through locally agreed financial regulations and a Corporate Governance Framework the daily management of Loans and Investments in compliance with the approved polices are undertaken by the Police Force Director of Finance’s staff. </w:t>
                            </w:r>
                          </w:p>
                          <w:p w14:paraId="20E60B7B" w14:textId="77777777" w:rsidR="00C6036C" w:rsidRPr="00B21E99" w:rsidRDefault="00C6036C" w:rsidP="002D5343">
                            <w:r w:rsidRPr="00B21E99">
                              <w:t>All loans and investment should be arranged in line with best practice as embodied in the CIPFA Code of Practice on Treasury Management and all borrowing undertaken should comply with the CIPFA prudential Code for Capital Finance in Local Authorities.</w:t>
                            </w:r>
                          </w:p>
                          <w:p w14:paraId="345332EB" w14:textId="3BD9C1FD" w:rsidR="00C6036C" w:rsidRDefault="00C6036C" w:rsidP="002D5343">
                            <w:r w:rsidRPr="00B21E99">
                              <w:t>The Chartered Institute of Public Finance and Accountancy’s Code of Practice for Treasury Management in Public Services requires the determination of the Treasury Management Strategy Statement (TMSS) on an annual basis. The TMSS also includes the Annual Investment Strategy that is a requirement of the Welsh Government’s Investment Guidance.</w:t>
                            </w:r>
                          </w:p>
                          <w:p w14:paraId="42D66371" w14:textId="781205C8" w:rsidR="000C362D" w:rsidRPr="003C36D7" w:rsidRDefault="000C362D" w:rsidP="000C362D">
                            <w:pPr>
                              <w:spacing w:before="0" w:after="240"/>
                              <w:rPr>
                                <w:rFonts w:eastAsia="Times New Roman" w:cs="Times New Roman"/>
                                <w:spacing w:val="-5"/>
                                <w:szCs w:val="20"/>
                              </w:rPr>
                            </w:pPr>
                            <w:r w:rsidRPr="003C36D7">
                              <w:rPr>
                                <w:rFonts w:eastAsia="Times New Roman" w:cs="Times New Roman"/>
                                <w:spacing w:val="-5"/>
                                <w:szCs w:val="20"/>
                              </w:rPr>
                              <w:t>CIPFA published revised CIPFA Treasury Management Code and Prudential Code in December 2021</w:t>
                            </w:r>
                            <w:r>
                              <w:rPr>
                                <w:rFonts w:eastAsia="Times New Roman" w:cs="Times New Roman"/>
                                <w:spacing w:val="-5"/>
                                <w:szCs w:val="20"/>
                              </w:rPr>
                              <w:t xml:space="preserve">, the new requirements </w:t>
                            </w:r>
                            <w:r w:rsidR="0011422F">
                              <w:rPr>
                                <w:rFonts w:eastAsia="Times New Roman" w:cs="Times New Roman"/>
                                <w:spacing w:val="-5"/>
                                <w:szCs w:val="20"/>
                              </w:rPr>
                              <w:t>have been r</w:t>
                            </w:r>
                            <w:r>
                              <w:rPr>
                                <w:rFonts w:eastAsia="Times New Roman" w:cs="Times New Roman"/>
                                <w:spacing w:val="-5"/>
                                <w:szCs w:val="20"/>
                              </w:rPr>
                              <w:t xml:space="preserve">eflected </w:t>
                            </w:r>
                            <w:proofErr w:type="gramStart"/>
                            <w:r w:rsidR="0011422F">
                              <w:rPr>
                                <w:rFonts w:eastAsia="Times New Roman" w:cs="Times New Roman"/>
                                <w:spacing w:val="-5"/>
                                <w:szCs w:val="20"/>
                              </w:rPr>
                              <w:t>accordingly.</w:t>
                            </w:r>
                            <w:r w:rsidRPr="003C36D7">
                              <w:rPr>
                                <w:rFonts w:eastAsia="Times New Roman" w:cs="Times New Roman"/>
                                <w:spacing w:val="-5"/>
                                <w:szCs w:val="20"/>
                              </w:rPr>
                              <w:t>.</w:t>
                            </w:r>
                            <w:proofErr w:type="gramEnd"/>
                            <w:r w:rsidRPr="003C36D7">
                              <w:rPr>
                                <w:rFonts w:eastAsia="Times New Roman" w:cs="Times New Roman"/>
                                <w:spacing w:val="-5"/>
                                <w:szCs w:val="20"/>
                              </w:rPr>
                              <w:t xml:space="preserve">  </w:t>
                            </w:r>
                          </w:p>
                          <w:p w14:paraId="76D534EA" w14:textId="06F3D054" w:rsidR="00C6036C" w:rsidRPr="00B21E99" w:rsidRDefault="00C6036C" w:rsidP="002D5343">
                            <w:r w:rsidRPr="00B21E99">
                              <w:t>This document sets out the policies and procedures the Commissioner has in place for meeting these statutory requirements for the 202</w:t>
                            </w:r>
                            <w:r w:rsidR="00FF48AB">
                              <w:t>3</w:t>
                            </w:r>
                            <w:r w:rsidRPr="00B21E99">
                              <w:t>/2</w:t>
                            </w:r>
                            <w:r w:rsidR="00FF48AB">
                              <w:t>4</w:t>
                            </w:r>
                            <w:r w:rsidRPr="00B21E99">
                              <w:t xml:space="preserve"> year.</w:t>
                            </w:r>
                          </w:p>
                          <w:p w14:paraId="17069BCA" w14:textId="2D5A8E3C" w:rsidR="00C6036C" w:rsidRDefault="00C6036C" w:rsidP="002D53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35E54" id="Text Box 6" o:spid="_x0000_s1036" type="#_x0000_t202" style="position:absolute;margin-left:-27pt;margin-top:15.05pt;width:515.25pt;height:70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" fillcolor="#f2f2f2 [3052]">
                <v:textbox>
                  <w:txbxContent>
                    <w:p w14:paraId="060F6BD7" w14:textId="4DB08812" w:rsidR="00C6036C" w:rsidRPr="00B21E99" w:rsidRDefault="00C6036C" w:rsidP="002D5343">
                      <w:r w:rsidRPr="002B63DF">
                        <w:rPr>
                          <w:b/>
                          <w:bCs/>
                        </w:rPr>
                        <w:t xml:space="preserve">Executive Summary: </w:t>
                      </w:r>
                      <w:r w:rsidRPr="00B21E99">
                        <w:t>The Home Office Financial Management Code of Practice states that the Police and Crime Commissioner (Commissioner) is directly responsible for loans, investments and for borrowing money. The Chief Finance Officer of the Commissioner should decide what investments are to be made locally and approve any borrowing. Decisions on Capital Financing and Borrowing also form part of the Commissioner’s responsibility.</w:t>
                      </w:r>
                    </w:p>
                    <w:p w14:paraId="18A8DAFE" w14:textId="77777777" w:rsidR="00C6036C" w:rsidRPr="00B21E99" w:rsidRDefault="00C6036C" w:rsidP="002D5343">
                      <w:r w:rsidRPr="00B21E99">
                        <w:t xml:space="preserve">Through locally agreed financial regulations and a Corporate Governance Framework the daily management of Loans and Investments in compliance with the approved polices are undertaken by the Police Force Director of Finance’s staff. </w:t>
                      </w:r>
                    </w:p>
                    <w:p w14:paraId="20E60B7B" w14:textId="77777777" w:rsidR="00C6036C" w:rsidRPr="00B21E99" w:rsidRDefault="00C6036C" w:rsidP="002D5343">
                      <w:r w:rsidRPr="00B21E99">
                        <w:t>All loans and investment should be arranged in line with best practice as embodied in the CIPFA Code of Practice on Treasury Management and all borrowing undertaken should comply with the CIPFA prudential Code for Capital Finance in Local Authorities.</w:t>
                      </w:r>
                    </w:p>
                    <w:p w14:paraId="345332EB" w14:textId="3BD9C1FD" w:rsidR="00C6036C" w:rsidRDefault="00C6036C" w:rsidP="002D5343">
                      <w:r w:rsidRPr="00B21E99">
                        <w:t>The Chartered Institute of Public Finance and Accountancy’s Code of Practice for Treasury Management in Public Services requires the determination of the Treasury Management Strategy Statement (TMSS) on an annual basis. The TMSS also includes the Annual Investment Strategy that is a requirement of the Welsh Government’s Investment Guidance.</w:t>
                      </w:r>
                    </w:p>
                    <w:p w14:paraId="42D66371" w14:textId="781205C8" w:rsidR="000C362D" w:rsidRPr="003C36D7" w:rsidRDefault="000C362D" w:rsidP="000C362D">
                      <w:pPr>
                        <w:spacing w:before="0" w:after="240"/>
                        <w:rPr>
                          <w:rFonts w:eastAsia="Times New Roman" w:cs="Times New Roman"/>
                          <w:spacing w:val="-5"/>
                          <w:szCs w:val="20"/>
                        </w:rPr>
                      </w:pPr>
                      <w:r w:rsidRPr="003C36D7">
                        <w:rPr>
                          <w:rFonts w:eastAsia="Times New Roman" w:cs="Times New Roman"/>
                          <w:spacing w:val="-5"/>
                          <w:szCs w:val="20"/>
                        </w:rPr>
                        <w:t>CIPFA published revised CIPFA Treasury Management Code and Prudential Code in December 2021</w:t>
                      </w:r>
                      <w:r>
                        <w:rPr>
                          <w:rFonts w:eastAsia="Times New Roman" w:cs="Times New Roman"/>
                          <w:spacing w:val="-5"/>
                          <w:szCs w:val="20"/>
                        </w:rPr>
                        <w:t xml:space="preserve">, the new requirements </w:t>
                      </w:r>
                      <w:r w:rsidR="0011422F">
                        <w:rPr>
                          <w:rFonts w:eastAsia="Times New Roman" w:cs="Times New Roman"/>
                          <w:spacing w:val="-5"/>
                          <w:szCs w:val="20"/>
                        </w:rPr>
                        <w:t>have been r</w:t>
                      </w:r>
                      <w:r>
                        <w:rPr>
                          <w:rFonts w:eastAsia="Times New Roman" w:cs="Times New Roman"/>
                          <w:spacing w:val="-5"/>
                          <w:szCs w:val="20"/>
                        </w:rPr>
                        <w:t xml:space="preserve">eflected </w:t>
                      </w:r>
                      <w:proofErr w:type="gramStart"/>
                      <w:r w:rsidR="0011422F">
                        <w:rPr>
                          <w:rFonts w:eastAsia="Times New Roman" w:cs="Times New Roman"/>
                          <w:spacing w:val="-5"/>
                          <w:szCs w:val="20"/>
                        </w:rPr>
                        <w:t>accordingly.</w:t>
                      </w:r>
                      <w:r w:rsidRPr="003C36D7">
                        <w:rPr>
                          <w:rFonts w:eastAsia="Times New Roman" w:cs="Times New Roman"/>
                          <w:spacing w:val="-5"/>
                          <w:szCs w:val="20"/>
                        </w:rPr>
                        <w:t>.</w:t>
                      </w:r>
                      <w:proofErr w:type="gramEnd"/>
                      <w:r w:rsidRPr="003C36D7">
                        <w:rPr>
                          <w:rFonts w:eastAsia="Times New Roman" w:cs="Times New Roman"/>
                          <w:spacing w:val="-5"/>
                          <w:szCs w:val="20"/>
                        </w:rPr>
                        <w:t xml:space="preserve">  </w:t>
                      </w:r>
                    </w:p>
                    <w:p w14:paraId="76D534EA" w14:textId="06F3D054" w:rsidR="00C6036C" w:rsidRPr="00B21E99" w:rsidRDefault="00C6036C" w:rsidP="002D5343">
                      <w:r w:rsidRPr="00B21E99">
                        <w:t>This document sets out the policies and procedures the Commissioner has in place for meeting these statutory requirements for the 202</w:t>
                      </w:r>
                      <w:r w:rsidR="00FF48AB">
                        <w:t>3</w:t>
                      </w:r>
                      <w:r w:rsidRPr="00B21E99">
                        <w:t>/2</w:t>
                      </w:r>
                      <w:r w:rsidR="00FF48AB">
                        <w:t>4</w:t>
                      </w:r>
                      <w:r w:rsidRPr="00B21E99">
                        <w:t xml:space="preserve"> year.</w:t>
                      </w:r>
                    </w:p>
                    <w:p w14:paraId="17069BCA" w14:textId="2D5A8E3C" w:rsidR="00C6036C" w:rsidRDefault="00C6036C" w:rsidP="002D5343"/>
                  </w:txbxContent>
                </v:textbox>
              </v:shape>
            </w:pict>
          </mc:Fallback>
        </mc:AlternateContent>
      </w:r>
    </w:p>
    <w:p w14:paraId="2F307603" w14:textId="7F14D66B" w:rsidR="00ED6288" w:rsidRPr="004A501B" w:rsidRDefault="00ED6288" w:rsidP="002D5343">
      <w:pPr>
        <w:pStyle w:val="Header"/>
      </w:pPr>
    </w:p>
    <w:p w14:paraId="712C1DF7" w14:textId="35D72E26" w:rsidR="00ED6288" w:rsidRPr="004A501B" w:rsidRDefault="00ED6288" w:rsidP="002D5343">
      <w:pPr>
        <w:pStyle w:val="Header"/>
      </w:pPr>
    </w:p>
    <w:p w14:paraId="44867482" w14:textId="77777777" w:rsidR="00ED6288" w:rsidRPr="004A501B" w:rsidRDefault="00ED6288" w:rsidP="002D5343">
      <w:pPr>
        <w:pStyle w:val="Header"/>
      </w:pPr>
    </w:p>
    <w:p w14:paraId="753068BA" w14:textId="77777777" w:rsidR="00ED6288" w:rsidRPr="004A501B" w:rsidRDefault="00ED6288" w:rsidP="002D5343">
      <w:pPr>
        <w:pStyle w:val="Header"/>
      </w:pPr>
    </w:p>
    <w:p w14:paraId="5D2EAF0A" w14:textId="77777777" w:rsidR="00ED6288" w:rsidRPr="004A501B" w:rsidRDefault="00ED6288" w:rsidP="002D5343">
      <w:pPr>
        <w:pStyle w:val="Header"/>
      </w:pPr>
    </w:p>
    <w:p w14:paraId="62FDFC0E" w14:textId="77777777" w:rsidR="00ED6288" w:rsidRPr="004A501B" w:rsidRDefault="00ED6288" w:rsidP="002D5343">
      <w:pPr>
        <w:pStyle w:val="Header"/>
      </w:pPr>
    </w:p>
    <w:p w14:paraId="44BB94BB" w14:textId="77777777" w:rsidR="00ED6288" w:rsidRPr="004A501B" w:rsidRDefault="00ED6288" w:rsidP="002D5343">
      <w:pPr>
        <w:pStyle w:val="Header"/>
      </w:pPr>
    </w:p>
    <w:p w14:paraId="6B459622" w14:textId="77777777" w:rsidR="00ED6288" w:rsidRPr="004A501B" w:rsidRDefault="00ED6288" w:rsidP="002D5343">
      <w:pPr>
        <w:pStyle w:val="Header"/>
      </w:pPr>
    </w:p>
    <w:p w14:paraId="679D8C23" w14:textId="77777777" w:rsidR="00ED6288" w:rsidRPr="004A501B" w:rsidRDefault="00ED6288" w:rsidP="002D5343">
      <w:pPr>
        <w:pStyle w:val="Header"/>
      </w:pPr>
    </w:p>
    <w:p w14:paraId="2216093C" w14:textId="77777777" w:rsidR="00ED6288" w:rsidRPr="004A501B" w:rsidRDefault="00ED6288" w:rsidP="002D5343">
      <w:pPr>
        <w:pStyle w:val="Header"/>
      </w:pPr>
    </w:p>
    <w:p w14:paraId="426D1990" w14:textId="77777777" w:rsidR="00ED6288" w:rsidRPr="004A501B" w:rsidRDefault="00ED6288" w:rsidP="002D5343">
      <w:pPr>
        <w:pStyle w:val="Header"/>
      </w:pPr>
    </w:p>
    <w:p w14:paraId="6E7A9030" w14:textId="77777777" w:rsidR="00ED6288" w:rsidRPr="004A501B" w:rsidRDefault="00ED6288" w:rsidP="002D5343">
      <w:pPr>
        <w:pStyle w:val="Header"/>
      </w:pPr>
    </w:p>
    <w:p w14:paraId="6EFA6A56" w14:textId="77777777" w:rsidR="00ED6288" w:rsidRPr="004A501B" w:rsidRDefault="00ED6288" w:rsidP="002D5343">
      <w:pPr>
        <w:pStyle w:val="Header"/>
      </w:pPr>
    </w:p>
    <w:p w14:paraId="17CE4A79" w14:textId="77777777" w:rsidR="00ED6288" w:rsidRPr="004A501B" w:rsidRDefault="00ED6288" w:rsidP="002D5343">
      <w:pPr>
        <w:pStyle w:val="Header"/>
      </w:pPr>
      <w:r w:rsidRPr="004A501B">
        <w:tab/>
      </w:r>
    </w:p>
    <w:p w14:paraId="600BC6B7" w14:textId="77777777" w:rsidR="00ED6288" w:rsidRPr="004A501B" w:rsidRDefault="00ED6288" w:rsidP="002D5343">
      <w:pPr>
        <w:pStyle w:val="Header"/>
      </w:pPr>
    </w:p>
    <w:p w14:paraId="3ED3549D" w14:textId="38289A84" w:rsidR="00ED6288" w:rsidRPr="004A501B" w:rsidRDefault="00073FB1" w:rsidP="002D5343">
      <w:pPr>
        <w:pStyle w:val="Header"/>
      </w:pPr>
      <w:r w:rsidRPr="004A501B">
        <w:rPr>
          <w:noProof/>
          <w:lang w:eastAsia="en-GB"/>
        </w:rPr>
        <mc:AlternateContent>
          <mc:Choice Requires="wps">
            <w:drawing>
              <wp:anchor distT="0" distB="0" distL="114300" distR="114300" simplePos="0" relativeHeight="251657728" behindDoc="0" locked="0" layoutInCell="1" allowOverlap="1" wp14:anchorId="3872AC44" wp14:editId="1D3D04E5">
                <wp:simplePos x="0" y="0"/>
                <wp:positionH relativeFrom="column">
                  <wp:posOffset>-304800</wp:posOffset>
                </wp:positionH>
                <wp:positionV relativeFrom="paragraph">
                  <wp:posOffset>283210</wp:posOffset>
                </wp:positionV>
                <wp:extent cx="5961380" cy="819150"/>
                <wp:effectExtent l="0" t="0" r="2032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61380" cy="819150"/>
                        </a:xfrm>
                        <a:prstGeom prst="rect">
                          <a:avLst/>
                        </a:prstGeom>
                        <a:solidFill>
                          <a:schemeClr val="bg1">
                            <a:lumMod val="95000"/>
                          </a:schemeClr>
                        </a:solidFill>
                        <a:ln w="9525">
                          <a:solidFill>
                            <a:srgbClr val="000000"/>
                          </a:solidFill>
                          <a:miter lim="800000"/>
                          <a:headEnd/>
                          <a:tailEnd/>
                        </a:ln>
                      </wps:spPr>
                      <wps:txbx>
                        <w:txbxContent>
                          <w:p w14:paraId="296ECEEA" w14:textId="77777777" w:rsidR="00C6036C" w:rsidRPr="00FB3AC0" w:rsidRDefault="00C6036C" w:rsidP="002D5343">
                            <w:pPr>
                              <w:rPr>
                                <w:b/>
                                <w:bCs/>
                              </w:rPr>
                            </w:pPr>
                            <w:r w:rsidRPr="00FB3AC0">
                              <w:rPr>
                                <w:b/>
                                <w:bCs/>
                              </w:rPr>
                              <w:t>Recommendation:</w:t>
                            </w:r>
                          </w:p>
                          <w:p w14:paraId="5AF6C430" w14:textId="77777777" w:rsidR="00C6036C" w:rsidRPr="00B21E99" w:rsidRDefault="00C6036C" w:rsidP="00FB3AC0">
                            <w:pPr>
                              <w:shd w:val="clear" w:color="auto" w:fill="F2F2F2"/>
                              <w:jc w:val="both"/>
                            </w:pPr>
                            <w:r w:rsidRPr="00B21E99">
                              <w:t>For consideration and comment by the Joint Audit Committee.</w:t>
                            </w:r>
                          </w:p>
                          <w:p w14:paraId="1B04AA25" w14:textId="77777777" w:rsidR="00C6036C" w:rsidRDefault="00C6036C" w:rsidP="002D5343"/>
                          <w:p w14:paraId="1D001DB1" w14:textId="77777777" w:rsidR="00C6036C" w:rsidRDefault="00C6036C" w:rsidP="002D5343">
                            <w:r>
                              <w:t>For consideration and comment by the Joint Audit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2AC44" id="Text Box 7" o:spid="_x0000_s1037" type="#_x0000_t202" style="position:absolute;margin-left:-24pt;margin-top:22.3pt;width:469.4pt;height:64.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" fillcolor="#f2f2f2 [3052]">
                <v:textbox>
                  <w:txbxContent>
                    <w:p w14:paraId="296ECEEA" w14:textId="77777777" w:rsidR="00C6036C" w:rsidRPr="00FB3AC0" w:rsidRDefault="00C6036C" w:rsidP="002D5343">
                      <w:pPr>
                        <w:rPr>
                          <w:b/>
                          <w:bCs/>
                        </w:rPr>
                      </w:pPr>
                      <w:r w:rsidRPr="00FB3AC0">
                        <w:rPr>
                          <w:b/>
                          <w:bCs/>
                        </w:rPr>
                        <w:t>Recommendation:</w:t>
                      </w:r>
                    </w:p>
                    <w:p w14:paraId="5AF6C430" w14:textId="77777777" w:rsidR="00C6036C" w:rsidRPr="00B21E99" w:rsidRDefault="00C6036C" w:rsidP="00FB3AC0">
                      <w:pPr>
                        <w:shd w:val="clear" w:color="auto" w:fill="F2F2F2"/>
                        <w:jc w:val="both"/>
                      </w:pPr>
                      <w:r w:rsidRPr="00B21E99">
                        <w:t>For consideration and comment by the Joint Audit Committee.</w:t>
                      </w:r>
                    </w:p>
                    <w:p w14:paraId="1B04AA25" w14:textId="77777777" w:rsidR="00C6036C" w:rsidRDefault="00C6036C" w:rsidP="002D5343"/>
                    <w:p w14:paraId="1D001DB1" w14:textId="77777777" w:rsidR="00C6036C" w:rsidRDefault="00C6036C" w:rsidP="002D5343">
                      <w:r>
                        <w:t>For consideration and comment by the Joint Audit Committee.</w:t>
                      </w:r>
                    </w:p>
                  </w:txbxContent>
                </v:textbox>
              </v:shape>
            </w:pict>
          </mc:Fallback>
        </mc:AlternateContent>
      </w:r>
    </w:p>
    <w:p w14:paraId="4C61E7B9" w14:textId="17DAA3B6" w:rsidR="00ED6288" w:rsidRPr="004A501B" w:rsidRDefault="00ED6288" w:rsidP="002D5343">
      <w:pPr>
        <w:pStyle w:val="Header"/>
      </w:pPr>
    </w:p>
    <w:p w14:paraId="63037221" w14:textId="415FF48E" w:rsidR="00ED6288" w:rsidRPr="004A501B" w:rsidRDefault="00ED6288" w:rsidP="002D5343">
      <w:pPr>
        <w:pStyle w:val="Header"/>
      </w:pPr>
    </w:p>
    <w:p w14:paraId="163E5899" w14:textId="08A56B3E" w:rsidR="00ED6288" w:rsidRPr="004A501B" w:rsidRDefault="00ED6288" w:rsidP="002D5343">
      <w:pPr>
        <w:pStyle w:val="Header"/>
      </w:pPr>
    </w:p>
    <w:p w14:paraId="70D99BAD" w14:textId="7888CB73" w:rsidR="00ED6288" w:rsidRPr="004A501B" w:rsidRDefault="00ED6288" w:rsidP="002D5343">
      <w:pPr>
        <w:pStyle w:val="Header"/>
      </w:pPr>
    </w:p>
    <w:p w14:paraId="5707D9EF" w14:textId="35D7D52A" w:rsidR="00ED6288" w:rsidRPr="004A501B" w:rsidRDefault="00ED6288" w:rsidP="002D5343">
      <w:pPr>
        <w:pStyle w:val="Header"/>
      </w:pPr>
    </w:p>
    <w:p w14:paraId="637FCF17" w14:textId="6FDACE48" w:rsidR="00513EDE" w:rsidRPr="004A501B" w:rsidRDefault="00513EDE" w:rsidP="002D5343">
      <w:pPr>
        <w:pStyle w:val="Header"/>
        <w:rPr>
          <w:rFonts w:ascii="Arial" w:hAnsi="Arial"/>
        </w:rPr>
      </w:pPr>
    </w:p>
    <w:p w14:paraId="1464148A" w14:textId="451F5643" w:rsidR="00850991" w:rsidRPr="004A501B" w:rsidRDefault="00513EDE" w:rsidP="002D5343">
      <w:pPr>
        <w:pStyle w:val="Header"/>
        <w:rPr>
          <w:noProof/>
          <w:lang w:eastAsia="en-GB"/>
        </w:rPr>
      </w:pPr>
      <w:r w:rsidRPr="004A501B">
        <w:lastRenderedPageBreak/>
        <w:tab/>
      </w:r>
      <w:r w:rsidR="002B63DF" w:rsidRPr="004A501B">
        <w:rPr>
          <w:noProof/>
          <w:lang w:eastAsia="en-GB"/>
        </w:rPr>
        <w:drawing>
          <wp:anchor distT="0" distB="0" distL="114300" distR="114300" simplePos="0" relativeHeight="251660800" behindDoc="0" locked="0" layoutInCell="1" allowOverlap="1" wp14:anchorId="2ACDED84" wp14:editId="0DBE874E">
            <wp:simplePos x="0" y="0"/>
            <wp:positionH relativeFrom="margin">
              <wp:posOffset>2882900</wp:posOffset>
            </wp:positionH>
            <wp:positionV relativeFrom="paragraph">
              <wp:posOffset>-422275</wp:posOffset>
            </wp:positionV>
            <wp:extent cx="2813685" cy="824502"/>
            <wp:effectExtent l="0" t="0" r="5715" b="0"/>
            <wp:wrapNone/>
            <wp:docPr id="18" name="Picture 18" descr="C:\Users\54283\AppData\Local\Microsoft\Windows\INetCache\Content.Outlook\M5AJFZ6B\Dyfed Pow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283\AppData\Local\Microsoft\Windows\INetCache\Content.Outlook\M5AJFZ6B\Dyfed Powys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3685" cy="824502"/>
                    </a:xfrm>
                    <a:prstGeom prst="rect">
                      <a:avLst/>
                    </a:prstGeom>
                    <a:noFill/>
                    <a:ln>
                      <a:noFill/>
                    </a:ln>
                  </pic:spPr>
                </pic:pic>
              </a:graphicData>
            </a:graphic>
          </wp:anchor>
        </w:drawing>
      </w:r>
      <w:r w:rsidR="002B63DF" w:rsidRPr="00146B08">
        <w:rPr>
          <w:noProof/>
        </w:rPr>
        <w:drawing>
          <wp:anchor distT="0" distB="0" distL="114300" distR="114300" simplePos="0" relativeHeight="251661824" behindDoc="0" locked="0" layoutInCell="1" allowOverlap="1" wp14:anchorId="742876CC" wp14:editId="0954D077">
            <wp:simplePos x="0" y="0"/>
            <wp:positionH relativeFrom="margin">
              <wp:posOffset>0</wp:posOffset>
            </wp:positionH>
            <wp:positionV relativeFrom="paragraph">
              <wp:posOffset>-445770</wp:posOffset>
            </wp:positionV>
            <wp:extent cx="1918086" cy="846455"/>
            <wp:effectExtent l="0" t="0" r="6350"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8086" cy="846455"/>
                    </a:xfrm>
                    <a:prstGeom prst="rect">
                      <a:avLst/>
                    </a:prstGeom>
                  </pic:spPr>
                </pic:pic>
              </a:graphicData>
            </a:graphic>
            <wp14:sizeRelH relativeFrom="margin">
              <wp14:pctWidth>0</wp14:pctWidth>
            </wp14:sizeRelH>
            <wp14:sizeRelV relativeFrom="margin">
              <wp14:pctHeight>0</wp14:pctHeight>
            </wp14:sizeRelV>
          </wp:anchor>
        </w:drawing>
      </w:r>
    </w:p>
    <w:p w14:paraId="5E74A5FB" w14:textId="77777777" w:rsidR="00850991" w:rsidRPr="002B63DF" w:rsidRDefault="00850991" w:rsidP="002D5343">
      <w:pPr>
        <w:pStyle w:val="Header"/>
        <w:rPr>
          <w:b/>
          <w:bCs/>
          <w:sz w:val="32"/>
          <w:szCs w:val="32"/>
        </w:rPr>
      </w:pPr>
    </w:p>
    <w:p w14:paraId="2FE7E8AA" w14:textId="636AB094" w:rsidR="00770E1C" w:rsidRPr="002B63DF" w:rsidRDefault="00770E1C" w:rsidP="002D5343">
      <w:pPr>
        <w:rPr>
          <w:b/>
          <w:bCs/>
          <w:sz w:val="32"/>
          <w:szCs w:val="32"/>
        </w:rPr>
      </w:pPr>
      <w:r w:rsidRPr="002B63DF">
        <w:rPr>
          <w:b/>
          <w:bCs/>
          <w:sz w:val="32"/>
          <w:szCs w:val="32"/>
        </w:rPr>
        <w:t xml:space="preserve">Report of Chief Finance Officer of the </w:t>
      </w:r>
      <w:r w:rsidR="00657EFA" w:rsidRPr="002B63DF">
        <w:rPr>
          <w:b/>
          <w:bCs/>
          <w:sz w:val="32"/>
          <w:szCs w:val="32"/>
        </w:rPr>
        <w:t>Commissioner</w:t>
      </w:r>
    </w:p>
    <w:p w14:paraId="6ED57BE6" w14:textId="162134AF" w:rsidR="00770E1C" w:rsidRPr="002B63DF" w:rsidRDefault="00770E1C" w:rsidP="002D5343">
      <w:pPr>
        <w:rPr>
          <w:b/>
          <w:bCs/>
          <w:sz w:val="32"/>
          <w:szCs w:val="32"/>
        </w:rPr>
      </w:pPr>
      <w:r w:rsidRPr="002B63DF">
        <w:rPr>
          <w:b/>
          <w:bCs/>
          <w:sz w:val="32"/>
          <w:szCs w:val="32"/>
        </w:rPr>
        <w:t>Treasury Management Strategy and Investment Policy</w:t>
      </w:r>
    </w:p>
    <w:p w14:paraId="12EED639" w14:textId="77777777" w:rsidR="002B63DF" w:rsidRPr="004A501B" w:rsidRDefault="002B63DF" w:rsidP="002D5343"/>
    <w:p w14:paraId="0EFF24F6" w14:textId="77777777" w:rsidR="00770E1C" w:rsidRPr="004A501B" w:rsidRDefault="00770E1C" w:rsidP="002B63DF">
      <w:pPr>
        <w:pStyle w:val="Heading1"/>
        <w:ind w:hanging="720"/>
      </w:pPr>
      <w:r w:rsidRPr="004A501B">
        <w:t>Purpose of Report</w:t>
      </w:r>
    </w:p>
    <w:p w14:paraId="07BA4BB3" w14:textId="77777777" w:rsidR="00FB3AC0" w:rsidRPr="00FB3AC0" w:rsidRDefault="00FB3AC0" w:rsidP="00FB3AC0">
      <w:r w:rsidRPr="00FB3AC0">
        <w:t xml:space="preserve">The Chartered Institute of Public Finance and Accountancy’s </w:t>
      </w:r>
      <w:r w:rsidRPr="00FB3AC0">
        <w:rPr>
          <w:i/>
        </w:rPr>
        <w:t xml:space="preserve">Treasury Management in the Public Services; Code of Practice 2021 edition </w:t>
      </w:r>
      <w:r w:rsidRPr="00FB3AC0">
        <w:t>(the CIPFA code) requires the Commissioner to approve a treasury management strategy before the start of each financial year.</w:t>
      </w:r>
    </w:p>
    <w:p w14:paraId="10F6C847" w14:textId="6FC72BA9" w:rsidR="00FB3AC0" w:rsidRPr="00495FD3" w:rsidRDefault="00FB3AC0" w:rsidP="00FB3AC0">
      <w:r w:rsidRPr="00FB3AC0">
        <w:t>Treasury management is the management of the Commissioner’s cash flows, borrowing and investments, and the associated risks</w:t>
      </w:r>
      <w:r w:rsidRPr="00495FD3">
        <w:t xml:space="preserve">. Currently the Commissioner has money </w:t>
      </w:r>
      <w:r w:rsidR="009306F9" w:rsidRPr="00495FD3">
        <w:t xml:space="preserve">held in </w:t>
      </w:r>
      <w:r w:rsidRPr="00495FD3">
        <w:t xml:space="preserve">cash </w:t>
      </w:r>
      <w:r w:rsidR="009306F9" w:rsidRPr="00495FD3">
        <w:t>arising from reserves and</w:t>
      </w:r>
      <w:r w:rsidRPr="00495FD3">
        <w:t xml:space="preserve"> for the </w:t>
      </w:r>
      <w:r w:rsidR="009306F9" w:rsidRPr="00495FD3">
        <w:t>delivery</w:t>
      </w:r>
      <w:r w:rsidRPr="00495FD3">
        <w:t xml:space="preserve"> of other operational </w:t>
      </w:r>
      <w:r w:rsidR="009306F9" w:rsidRPr="00495FD3">
        <w:t>s</w:t>
      </w:r>
      <w:r w:rsidRPr="00495FD3">
        <w:t>ervice</w:t>
      </w:r>
      <w:r w:rsidR="009306F9" w:rsidRPr="00495FD3">
        <w:t>s</w:t>
      </w:r>
      <w:r w:rsidRPr="00495FD3">
        <w:t xml:space="preserve">. These sums are invested so that they are held securely, are accessible so to provide liquidity to meet obligations and as far as the parameters of this strategy </w:t>
      </w:r>
      <w:r w:rsidR="009306F9" w:rsidRPr="00495FD3">
        <w:t xml:space="preserve">and codes of practice </w:t>
      </w:r>
      <w:r w:rsidRPr="00495FD3">
        <w:t xml:space="preserve">permit, to earn a return or interest yield. </w:t>
      </w:r>
    </w:p>
    <w:p w14:paraId="666E12BF" w14:textId="77777777" w:rsidR="00FB3AC0" w:rsidRPr="00FB3AC0" w:rsidRDefault="00FB3AC0" w:rsidP="00FB3AC0">
      <w:r w:rsidRPr="00495FD3">
        <w:t>The Commissioner is therefore exposed to financial risks including the loss of invested funds and the revenue effect of changing interest rates.  The successful identification, monitoring and control of financial risk are therefore central to prudent financial management.</w:t>
      </w:r>
      <w:r w:rsidRPr="00FB3AC0">
        <w:t xml:space="preserve"> </w:t>
      </w:r>
    </w:p>
    <w:p w14:paraId="27D22A1E" w14:textId="15133139" w:rsidR="00FB3AC0" w:rsidRPr="00FB3AC0" w:rsidRDefault="009306F9" w:rsidP="00FB3AC0">
      <w:r>
        <w:t>T</w:t>
      </w:r>
      <w:r w:rsidR="00FB3AC0" w:rsidRPr="00FB3AC0">
        <w:t xml:space="preserve">he Commissioner is also permitted to </w:t>
      </w:r>
      <w:r>
        <w:t xml:space="preserve">conditionally </w:t>
      </w:r>
      <w:r w:rsidR="00FB3AC0" w:rsidRPr="00FB3AC0">
        <w:t>borrow money to achieve specific strategic goals. Borrowing brings with it a requirement to repay the debt and obligation to pay interest to the lender. There are consequential risks, revenue effects and a requirement for management attention.</w:t>
      </w:r>
    </w:p>
    <w:p w14:paraId="44A6769F" w14:textId="77777777" w:rsidR="00FB3AC0" w:rsidRPr="00FB3AC0" w:rsidRDefault="00FB3AC0" w:rsidP="00FB3AC0">
      <w:r w:rsidRPr="00FB3AC0">
        <w:t>Treasury risk management is conducted within the framework of the Chartered Institute of Public Finance and Accountancy’s Treasury Management in the Public Services: Code of Practice 2021 Edition (the CIPFA Code) which requires the Commissioner to approve a treasury management strategy before the start of each financial year. In addition, the Welsh Government (WG) issued revised Guidance on Local Authority Investments in November 2019 that requires the Commissioner to approve an investment strategy before the start of each financial year. This report fulfils the Commissioner’s legal obligation under the Local Government Act 2003 to have regard to both the CIPFA Code and the WG Guidance.</w:t>
      </w:r>
    </w:p>
    <w:p w14:paraId="412194AB" w14:textId="77777777" w:rsidR="00FB3AC0" w:rsidRPr="00FB3AC0" w:rsidRDefault="00FB3AC0" w:rsidP="00FB3AC0">
      <w:r w:rsidRPr="00FB3AC0">
        <w:t xml:space="preserve">In accordance with the WG Guidance, the Commissioner will be asked to approve a revised Treasury Management Strategy Statement should the assumptions on which this report is based change significantly. Such circumstances would include, for example, a </w:t>
      </w:r>
      <w:proofErr w:type="gramStart"/>
      <w:r w:rsidRPr="00FB3AC0">
        <w:t>large unexpected</w:t>
      </w:r>
      <w:proofErr w:type="gramEnd"/>
      <w:r w:rsidRPr="00FB3AC0">
        <w:t xml:space="preserve"> change in interest rates, capital programme or in the level of investment balance, or a material loss in the fair value of a non-financial investment identified as part of the year end accounts preparation and audit process.</w:t>
      </w:r>
    </w:p>
    <w:p w14:paraId="405134F8" w14:textId="58F440B4" w:rsidR="00FB3AC0" w:rsidRPr="00FB3AC0" w:rsidRDefault="00FB3AC0" w:rsidP="00FB3AC0">
      <w:r w:rsidRPr="00FB3AC0">
        <w:t>It is a requirement that the Commissioner’s Chief Finan</w:t>
      </w:r>
      <w:r w:rsidR="0080793E">
        <w:t>ce</w:t>
      </w:r>
      <w:r w:rsidRPr="00FB3AC0">
        <w:t xml:space="preserve"> Officer (CFO) should implement and monitor the treasury management policies and procedures in line with the CIPFA code and other professional guidance.</w:t>
      </w:r>
    </w:p>
    <w:p w14:paraId="7F367D1C" w14:textId="77777777" w:rsidR="004A501B" w:rsidRDefault="004A501B" w:rsidP="002D5343">
      <w:r>
        <w:br w:type="page"/>
      </w:r>
    </w:p>
    <w:p w14:paraId="43B2720F" w14:textId="5C1B9A79" w:rsidR="00770E1C" w:rsidRPr="004A501B" w:rsidRDefault="00770E1C" w:rsidP="00FB3AC0">
      <w:pPr>
        <w:pStyle w:val="Heading1"/>
        <w:ind w:hanging="720"/>
      </w:pPr>
      <w:r w:rsidRPr="004A501B">
        <w:lastRenderedPageBreak/>
        <w:t>Economic Background</w:t>
      </w:r>
    </w:p>
    <w:p w14:paraId="669DB090" w14:textId="04388A66" w:rsidR="000666BD" w:rsidRPr="000666BD" w:rsidRDefault="000666BD" w:rsidP="00FB3AC0">
      <w:pPr>
        <w:pStyle w:val="Heading2"/>
        <w:rPr>
          <w:b w:val="0"/>
          <w:bCs w:val="0"/>
        </w:rPr>
      </w:pPr>
      <w:bookmarkStart w:id="0" w:name="_Toc98501388"/>
      <w:r w:rsidRPr="000666BD">
        <w:rPr>
          <w:b w:val="0"/>
          <w:bCs w:val="0"/>
        </w:rPr>
        <w:t>Please not</w:t>
      </w:r>
      <w:r w:rsidR="00266681">
        <w:rPr>
          <w:b w:val="0"/>
          <w:bCs w:val="0"/>
        </w:rPr>
        <w:t>e</w:t>
      </w:r>
      <w:r w:rsidRPr="000666BD">
        <w:rPr>
          <w:b w:val="0"/>
          <w:bCs w:val="0"/>
        </w:rPr>
        <w:t xml:space="preserve"> part</w:t>
      </w:r>
      <w:r>
        <w:rPr>
          <w:b w:val="0"/>
          <w:bCs w:val="0"/>
        </w:rPr>
        <w:t>s</w:t>
      </w:r>
      <w:r w:rsidRPr="000666BD">
        <w:rPr>
          <w:b w:val="0"/>
          <w:bCs w:val="0"/>
        </w:rPr>
        <w:t xml:space="preserve"> 2.1 to 2.3 </w:t>
      </w:r>
      <w:r w:rsidR="0080793E">
        <w:rPr>
          <w:b w:val="0"/>
          <w:bCs w:val="0"/>
        </w:rPr>
        <w:t>are</w:t>
      </w:r>
      <w:r w:rsidRPr="000666BD">
        <w:rPr>
          <w:b w:val="0"/>
          <w:bCs w:val="0"/>
        </w:rPr>
        <w:t xml:space="preserve"> provided </w:t>
      </w:r>
      <w:r w:rsidR="0080793E">
        <w:rPr>
          <w:b w:val="0"/>
          <w:bCs w:val="0"/>
        </w:rPr>
        <w:t xml:space="preserve">directly </w:t>
      </w:r>
      <w:r w:rsidRPr="000666BD">
        <w:rPr>
          <w:b w:val="0"/>
          <w:bCs w:val="0"/>
        </w:rPr>
        <w:t xml:space="preserve">by the </w:t>
      </w:r>
      <w:r w:rsidR="0080793E">
        <w:rPr>
          <w:b w:val="0"/>
          <w:bCs w:val="0"/>
        </w:rPr>
        <w:t>T</w:t>
      </w:r>
      <w:r w:rsidRPr="000666BD">
        <w:rPr>
          <w:b w:val="0"/>
          <w:bCs w:val="0"/>
        </w:rPr>
        <w:t xml:space="preserve">reasury </w:t>
      </w:r>
      <w:r w:rsidR="0080793E">
        <w:rPr>
          <w:b w:val="0"/>
          <w:bCs w:val="0"/>
        </w:rPr>
        <w:t>M</w:t>
      </w:r>
      <w:r w:rsidRPr="000666BD">
        <w:rPr>
          <w:b w:val="0"/>
          <w:bCs w:val="0"/>
        </w:rPr>
        <w:t xml:space="preserve">anagement </w:t>
      </w:r>
      <w:r>
        <w:rPr>
          <w:b w:val="0"/>
          <w:bCs w:val="0"/>
        </w:rPr>
        <w:t>a</w:t>
      </w:r>
      <w:r w:rsidRPr="000666BD">
        <w:rPr>
          <w:b w:val="0"/>
          <w:bCs w:val="0"/>
        </w:rPr>
        <w:t xml:space="preserve">dvisor’s Link </w:t>
      </w:r>
      <w:r w:rsidR="0080793E">
        <w:rPr>
          <w:b w:val="0"/>
          <w:bCs w:val="0"/>
        </w:rPr>
        <w:t xml:space="preserve">Group </w:t>
      </w:r>
      <w:r w:rsidRPr="000666BD">
        <w:rPr>
          <w:b w:val="0"/>
          <w:bCs w:val="0"/>
        </w:rPr>
        <w:t xml:space="preserve">and any reference to quarters </w:t>
      </w:r>
      <w:r>
        <w:rPr>
          <w:b w:val="0"/>
          <w:bCs w:val="0"/>
        </w:rPr>
        <w:t>is for calendar years rather than financial years i.e., if there is reference to Q2, this is April-June</w:t>
      </w:r>
      <w:r w:rsidR="00266681">
        <w:rPr>
          <w:b w:val="0"/>
          <w:bCs w:val="0"/>
        </w:rPr>
        <w:t>.</w:t>
      </w:r>
    </w:p>
    <w:p w14:paraId="78C05659" w14:textId="1C7F9C59" w:rsidR="00FB3AC0" w:rsidRPr="00FB3AC0" w:rsidRDefault="00BE578E" w:rsidP="00FB3AC0">
      <w:pPr>
        <w:pStyle w:val="Heading2"/>
      </w:pPr>
      <w:r>
        <w:t xml:space="preserve">2.1 </w:t>
      </w:r>
      <w:r w:rsidR="00FB3AC0" w:rsidRPr="00FB3AC0">
        <w:t>Current Economic Conditions</w:t>
      </w:r>
      <w:bookmarkEnd w:id="0"/>
    </w:p>
    <w:p w14:paraId="6FAB370B" w14:textId="77777777" w:rsidR="00B74D11" w:rsidRPr="00B40D29" w:rsidRDefault="00B74D11" w:rsidP="00B74D11">
      <w:r w:rsidRPr="00B40D29">
        <w:t>Against a backdrop of stubborn inflationary pressures, the easing of Covid restrictions in most developed economies, the Russian invasion of Ukraine, and a range of different UK Government policies, it is no surprise that UK interest rates have been volatile right across the curve, from Bank Rate through to 50-year gilt yields, for all of 2022.</w:t>
      </w:r>
    </w:p>
    <w:p w14:paraId="657A88C4" w14:textId="41401B2A" w:rsidR="00B74D11" w:rsidRPr="00B40D29" w:rsidRDefault="00B74D11" w:rsidP="00B74D11">
      <w:r w:rsidRPr="00B40D29">
        <w:t xml:space="preserve">Market commentators’ misplaced optimism around inflation has been the root cause of the rout in the bond markets with, for example, UK, EZ and US 10-year yields all rising by over 200bps in 2022.  The table below provides a snapshot of the conundrum facing central banks: inflation is elevated but labour markets are extra-ordinarily tight, making it an issue of fine judgment as to how far monetary policy needs to tighten.  </w:t>
      </w:r>
    </w:p>
    <w:tbl>
      <w:tblPr>
        <w:tblStyle w:val="TableGrid"/>
        <w:tblW w:w="0" w:type="auto"/>
        <w:tblLook w:val="04A0" w:firstRow="1" w:lastRow="0" w:firstColumn="1" w:lastColumn="0" w:noHBand="0" w:noVBand="1"/>
      </w:tblPr>
      <w:tblGrid>
        <w:gridCol w:w="2265"/>
        <w:gridCol w:w="2265"/>
        <w:gridCol w:w="2266"/>
        <w:gridCol w:w="2266"/>
      </w:tblGrid>
      <w:tr w:rsidR="00B74D11" w:rsidRPr="00B40D29" w14:paraId="24FB9DBB" w14:textId="77777777" w:rsidTr="00F31814">
        <w:tc>
          <w:tcPr>
            <w:tcW w:w="2265" w:type="dxa"/>
          </w:tcPr>
          <w:p w14:paraId="5168975D" w14:textId="77777777" w:rsidR="00B74D11" w:rsidRPr="00B40D29" w:rsidRDefault="00B74D11" w:rsidP="00F31814">
            <w:pPr>
              <w:pStyle w:val="BulletTypeA"/>
              <w:numPr>
                <w:ilvl w:val="0"/>
                <w:numId w:val="0"/>
              </w:numPr>
              <w:jc w:val="center"/>
              <w:rPr>
                <w:rFonts w:ascii="Arial" w:hAnsi="Arial" w:cs="Arial"/>
                <w:sz w:val="22"/>
                <w:szCs w:val="22"/>
              </w:rPr>
            </w:pPr>
          </w:p>
        </w:tc>
        <w:tc>
          <w:tcPr>
            <w:tcW w:w="2265" w:type="dxa"/>
          </w:tcPr>
          <w:p w14:paraId="3483BA6E" w14:textId="77777777" w:rsidR="00B74D11" w:rsidRPr="00B40D29" w:rsidRDefault="00B74D11" w:rsidP="00F31814">
            <w:pPr>
              <w:pStyle w:val="BulletTypeA"/>
              <w:numPr>
                <w:ilvl w:val="0"/>
                <w:numId w:val="0"/>
              </w:numPr>
              <w:jc w:val="center"/>
              <w:rPr>
                <w:rFonts w:ascii="Arial" w:hAnsi="Arial" w:cs="Arial"/>
                <w:b/>
                <w:bCs/>
                <w:sz w:val="22"/>
                <w:szCs w:val="22"/>
              </w:rPr>
            </w:pPr>
            <w:r w:rsidRPr="00B40D29">
              <w:rPr>
                <w:rFonts w:ascii="Arial" w:hAnsi="Arial" w:cs="Arial"/>
                <w:b/>
                <w:bCs/>
                <w:sz w:val="22"/>
                <w:szCs w:val="22"/>
              </w:rPr>
              <w:t>UK</w:t>
            </w:r>
          </w:p>
        </w:tc>
        <w:tc>
          <w:tcPr>
            <w:tcW w:w="2266" w:type="dxa"/>
          </w:tcPr>
          <w:p w14:paraId="3C93DA2A" w14:textId="77777777" w:rsidR="00B74D11" w:rsidRPr="00B40D29" w:rsidRDefault="00B74D11" w:rsidP="00F31814">
            <w:pPr>
              <w:pStyle w:val="BulletTypeA"/>
              <w:numPr>
                <w:ilvl w:val="0"/>
                <w:numId w:val="0"/>
              </w:numPr>
              <w:jc w:val="center"/>
              <w:rPr>
                <w:rFonts w:ascii="Arial" w:hAnsi="Arial" w:cs="Arial"/>
                <w:b/>
                <w:bCs/>
                <w:sz w:val="22"/>
                <w:szCs w:val="22"/>
              </w:rPr>
            </w:pPr>
            <w:r w:rsidRPr="00B40D29">
              <w:rPr>
                <w:rFonts w:ascii="Arial" w:hAnsi="Arial" w:cs="Arial"/>
                <w:b/>
                <w:bCs/>
                <w:sz w:val="22"/>
                <w:szCs w:val="22"/>
              </w:rPr>
              <w:t>Eurozone</w:t>
            </w:r>
          </w:p>
        </w:tc>
        <w:tc>
          <w:tcPr>
            <w:tcW w:w="2266" w:type="dxa"/>
          </w:tcPr>
          <w:p w14:paraId="0F254CAF" w14:textId="77777777" w:rsidR="00B74D11" w:rsidRPr="00B40D29" w:rsidRDefault="00B74D11" w:rsidP="00F31814">
            <w:pPr>
              <w:pStyle w:val="BulletTypeA"/>
              <w:numPr>
                <w:ilvl w:val="0"/>
                <w:numId w:val="0"/>
              </w:numPr>
              <w:jc w:val="center"/>
              <w:rPr>
                <w:rFonts w:ascii="Arial" w:hAnsi="Arial" w:cs="Arial"/>
                <w:b/>
                <w:bCs/>
                <w:sz w:val="22"/>
                <w:szCs w:val="22"/>
              </w:rPr>
            </w:pPr>
            <w:r w:rsidRPr="00B40D29">
              <w:rPr>
                <w:rFonts w:ascii="Arial" w:hAnsi="Arial" w:cs="Arial"/>
                <w:b/>
                <w:bCs/>
                <w:sz w:val="22"/>
                <w:szCs w:val="22"/>
              </w:rPr>
              <w:t>US</w:t>
            </w:r>
          </w:p>
        </w:tc>
      </w:tr>
      <w:tr w:rsidR="00B74D11" w:rsidRPr="00B40D29" w14:paraId="54F58437" w14:textId="77777777" w:rsidTr="00F31814">
        <w:tc>
          <w:tcPr>
            <w:tcW w:w="2265" w:type="dxa"/>
          </w:tcPr>
          <w:p w14:paraId="63DEE5B3" w14:textId="77777777" w:rsidR="00B74D11" w:rsidRPr="00B40D29" w:rsidRDefault="00B74D11" w:rsidP="00F31814">
            <w:pPr>
              <w:pStyle w:val="BulletTypeA"/>
              <w:numPr>
                <w:ilvl w:val="0"/>
                <w:numId w:val="0"/>
              </w:numPr>
              <w:jc w:val="center"/>
              <w:rPr>
                <w:rFonts w:ascii="Arial" w:hAnsi="Arial" w:cs="Arial"/>
                <w:b/>
                <w:bCs/>
                <w:sz w:val="22"/>
                <w:szCs w:val="22"/>
              </w:rPr>
            </w:pPr>
            <w:r w:rsidRPr="00B40D29">
              <w:rPr>
                <w:rFonts w:ascii="Arial" w:hAnsi="Arial" w:cs="Arial"/>
                <w:b/>
                <w:bCs/>
                <w:sz w:val="22"/>
                <w:szCs w:val="22"/>
              </w:rPr>
              <w:t>Bank Rate</w:t>
            </w:r>
          </w:p>
        </w:tc>
        <w:tc>
          <w:tcPr>
            <w:tcW w:w="2265" w:type="dxa"/>
          </w:tcPr>
          <w:p w14:paraId="791EEAE7"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4.0%</w:t>
            </w:r>
          </w:p>
        </w:tc>
        <w:tc>
          <w:tcPr>
            <w:tcW w:w="2266" w:type="dxa"/>
          </w:tcPr>
          <w:p w14:paraId="322688D2"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2.5%</w:t>
            </w:r>
          </w:p>
        </w:tc>
        <w:tc>
          <w:tcPr>
            <w:tcW w:w="2266" w:type="dxa"/>
          </w:tcPr>
          <w:p w14:paraId="0B5B9F28"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4.5%-4.75%</w:t>
            </w:r>
          </w:p>
        </w:tc>
      </w:tr>
      <w:tr w:rsidR="00B74D11" w:rsidRPr="00B40D29" w14:paraId="38F9CDDD" w14:textId="77777777" w:rsidTr="00F31814">
        <w:tc>
          <w:tcPr>
            <w:tcW w:w="2265" w:type="dxa"/>
          </w:tcPr>
          <w:p w14:paraId="69DE2525" w14:textId="77777777" w:rsidR="00B74D11" w:rsidRPr="00B40D29" w:rsidRDefault="00B74D11" w:rsidP="00F31814">
            <w:pPr>
              <w:pStyle w:val="BulletTypeA"/>
              <w:numPr>
                <w:ilvl w:val="0"/>
                <w:numId w:val="0"/>
              </w:numPr>
              <w:jc w:val="center"/>
              <w:rPr>
                <w:rFonts w:ascii="Arial" w:hAnsi="Arial" w:cs="Arial"/>
                <w:b/>
                <w:bCs/>
                <w:sz w:val="22"/>
                <w:szCs w:val="22"/>
              </w:rPr>
            </w:pPr>
            <w:r w:rsidRPr="00B40D29">
              <w:rPr>
                <w:rFonts w:ascii="Arial" w:hAnsi="Arial" w:cs="Arial"/>
                <w:b/>
                <w:bCs/>
                <w:sz w:val="22"/>
                <w:szCs w:val="22"/>
              </w:rPr>
              <w:t>GDP</w:t>
            </w:r>
          </w:p>
        </w:tc>
        <w:tc>
          <w:tcPr>
            <w:tcW w:w="2265" w:type="dxa"/>
          </w:tcPr>
          <w:p w14:paraId="0A43DD41"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-0.3%q/q Q3 (1.9%y/y)</w:t>
            </w:r>
          </w:p>
        </w:tc>
        <w:tc>
          <w:tcPr>
            <w:tcW w:w="2266" w:type="dxa"/>
          </w:tcPr>
          <w:p w14:paraId="688BADCC"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+0.1%q/q Q4 (1.9%y/y)</w:t>
            </w:r>
          </w:p>
        </w:tc>
        <w:tc>
          <w:tcPr>
            <w:tcW w:w="2266" w:type="dxa"/>
          </w:tcPr>
          <w:p w14:paraId="51976B3C"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2.9% Q4 Annualised</w:t>
            </w:r>
          </w:p>
        </w:tc>
      </w:tr>
      <w:tr w:rsidR="00B74D11" w:rsidRPr="00B40D29" w14:paraId="3048C2E8" w14:textId="77777777" w:rsidTr="00F31814">
        <w:tc>
          <w:tcPr>
            <w:tcW w:w="2265" w:type="dxa"/>
          </w:tcPr>
          <w:p w14:paraId="625B74CB" w14:textId="77777777" w:rsidR="00B74D11" w:rsidRPr="00B40D29" w:rsidRDefault="00B74D11" w:rsidP="00F31814">
            <w:pPr>
              <w:pStyle w:val="BulletTypeA"/>
              <w:numPr>
                <w:ilvl w:val="0"/>
                <w:numId w:val="0"/>
              </w:numPr>
              <w:jc w:val="center"/>
              <w:rPr>
                <w:rFonts w:ascii="Arial" w:hAnsi="Arial" w:cs="Arial"/>
                <w:b/>
                <w:bCs/>
                <w:sz w:val="22"/>
                <w:szCs w:val="22"/>
              </w:rPr>
            </w:pPr>
            <w:r w:rsidRPr="00B40D29">
              <w:rPr>
                <w:rFonts w:ascii="Arial" w:hAnsi="Arial" w:cs="Arial"/>
                <w:b/>
                <w:bCs/>
                <w:sz w:val="22"/>
                <w:szCs w:val="22"/>
              </w:rPr>
              <w:t>Inflation</w:t>
            </w:r>
          </w:p>
        </w:tc>
        <w:tc>
          <w:tcPr>
            <w:tcW w:w="2265" w:type="dxa"/>
          </w:tcPr>
          <w:p w14:paraId="699C83F5"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10.5%y/y (Dec)</w:t>
            </w:r>
          </w:p>
        </w:tc>
        <w:tc>
          <w:tcPr>
            <w:tcW w:w="2266" w:type="dxa"/>
          </w:tcPr>
          <w:p w14:paraId="347F43A4"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8.5%y/y (Jan)</w:t>
            </w:r>
          </w:p>
        </w:tc>
        <w:tc>
          <w:tcPr>
            <w:tcW w:w="2266" w:type="dxa"/>
          </w:tcPr>
          <w:p w14:paraId="1152CB2A"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6.5%y/y (Dec)</w:t>
            </w:r>
          </w:p>
        </w:tc>
      </w:tr>
      <w:tr w:rsidR="00B74D11" w:rsidRPr="00B40D29" w14:paraId="0DEE8861" w14:textId="77777777" w:rsidTr="00F31814">
        <w:tc>
          <w:tcPr>
            <w:tcW w:w="2265" w:type="dxa"/>
          </w:tcPr>
          <w:p w14:paraId="7269FE0B" w14:textId="77777777" w:rsidR="00B74D11" w:rsidRPr="00B40D29" w:rsidRDefault="00B74D11" w:rsidP="00F31814">
            <w:pPr>
              <w:pStyle w:val="BulletTypeA"/>
              <w:numPr>
                <w:ilvl w:val="0"/>
                <w:numId w:val="0"/>
              </w:numPr>
              <w:jc w:val="center"/>
              <w:rPr>
                <w:rFonts w:ascii="Arial" w:hAnsi="Arial" w:cs="Arial"/>
                <w:b/>
                <w:bCs/>
                <w:sz w:val="22"/>
                <w:szCs w:val="22"/>
              </w:rPr>
            </w:pPr>
            <w:r w:rsidRPr="00B40D29">
              <w:rPr>
                <w:rFonts w:ascii="Arial" w:hAnsi="Arial" w:cs="Arial"/>
                <w:b/>
                <w:bCs/>
                <w:sz w:val="22"/>
                <w:szCs w:val="22"/>
              </w:rPr>
              <w:t>Unemployment Rate</w:t>
            </w:r>
          </w:p>
        </w:tc>
        <w:tc>
          <w:tcPr>
            <w:tcW w:w="2265" w:type="dxa"/>
          </w:tcPr>
          <w:p w14:paraId="6743DBF0"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3.7% (Nov)</w:t>
            </w:r>
          </w:p>
        </w:tc>
        <w:tc>
          <w:tcPr>
            <w:tcW w:w="2266" w:type="dxa"/>
          </w:tcPr>
          <w:p w14:paraId="31596E6A"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6.6% (Dec)</w:t>
            </w:r>
          </w:p>
        </w:tc>
        <w:tc>
          <w:tcPr>
            <w:tcW w:w="2266" w:type="dxa"/>
          </w:tcPr>
          <w:p w14:paraId="4EEDA562" w14:textId="77777777" w:rsidR="00B74D11" w:rsidRPr="00B40D29" w:rsidRDefault="00B74D11" w:rsidP="00F31814">
            <w:pPr>
              <w:pStyle w:val="BulletTypeA"/>
              <w:numPr>
                <w:ilvl w:val="0"/>
                <w:numId w:val="0"/>
              </w:numPr>
              <w:jc w:val="center"/>
              <w:rPr>
                <w:rFonts w:ascii="Arial" w:hAnsi="Arial" w:cs="Arial"/>
                <w:sz w:val="22"/>
                <w:szCs w:val="22"/>
              </w:rPr>
            </w:pPr>
            <w:r w:rsidRPr="00B40D29">
              <w:rPr>
                <w:rFonts w:ascii="Arial" w:hAnsi="Arial" w:cs="Arial"/>
                <w:sz w:val="22"/>
                <w:szCs w:val="22"/>
              </w:rPr>
              <w:t>3.4% (Jan)</w:t>
            </w:r>
          </w:p>
        </w:tc>
      </w:tr>
    </w:tbl>
    <w:p w14:paraId="32DF3F9D" w14:textId="1F93D9F5" w:rsidR="0035529B" w:rsidRPr="00B40D29" w:rsidRDefault="0035529B" w:rsidP="0035529B">
      <w:r w:rsidRPr="00B40D29">
        <w:t>Q2 of 2022 saw UK GDP revised upwards to +0.2% q/q, but this was quickly reversed in the third quarter, albeit some of the fall in GDP can be placed at the foot of the extra Bank Holiday in the wake of the Queen’s passing.  Nevertheless, CPI inflation picked up to what should be a peak reading of 11.1% in October, although with further increases in the gas and electricity price caps pencilled in for April 2023, and the cap potentially rising from an average of £2,500 to £3,000 per household, there is still a possibility that inflation will face some further upward pressures before dropping back slowly through 2023 to finish the year in the range of 4% - 5%.</w:t>
      </w:r>
      <w:r w:rsidR="00AD5349">
        <w:t xml:space="preserve"> </w:t>
      </w:r>
      <w:proofErr w:type="gramStart"/>
      <w:r w:rsidR="00AD5349" w:rsidRPr="00AD5349">
        <w:t>At</w:t>
      </w:r>
      <w:proofErr w:type="gramEnd"/>
      <w:r w:rsidR="00AD5349" w:rsidRPr="00AD5349">
        <w:t xml:space="preserve"> January 2023, CPI was 10.1%.</w:t>
      </w:r>
    </w:p>
    <w:p w14:paraId="535F0315" w14:textId="1D9C8626" w:rsidR="00B74D11" w:rsidRPr="00B40D29" w:rsidRDefault="0035529B" w:rsidP="0035529B">
      <w:r w:rsidRPr="00B40D29">
        <w:t xml:space="preserve">The UK unemployment rate fell to a 48-year low of 3.6%, and this despite a net migration increase of c500k.  The fact is that with many economic participants registered as long-term sick, the UK labour force </w:t>
      </w:r>
      <w:proofErr w:type="gramStart"/>
      <w:r w:rsidRPr="00B40D29">
        <w:t>actually shrunk</w:t>
      </w:r>
      <w:proofErr w:type="gramEnd"/>
      <w:r w:rsidRPr="00B40D29">
        <w:t xml:space="preserve"> by c500k in the year to June.  Without an increase in the labour force participation rate, it is hard to see how the UK economy will be able to grow its way to prosperity, and with average wage increases running at over 6% the MPC will be concerned that wage inflation will prove just as sticky as major supply-side shocks to food and energy that have endured since Russia’s invasion of Ukraine on 22 February 2022.</w:t>
      </w:r>
    </w:p>
    <w:p w14:paraId="7F8308EA" w14:textId="77777777" w:rsidR="0035529B" w:rsidRPr="00B40D29" w:rsidRDefault="0035529B" w:rsidP="0035529B">
      <w:r w:rsidRPr="00B40D29">
        <w:t>Throughout Q3 Bank Rate increased, finishing the quarter at 2.25% (an increase of 1%).  Since then, rates rose to 3.5% in December and 4% in February and the market currently expects Bank Rate to hit 4.5% by June 2023.</w:t>
      </w:r>
    </w:p>
    <w:p w14:paraId="18D32B09" w14:textId="6EB556FD" w:rsidR="0035529B" w:rsidRPr="00B40D29" w:rsidRDefault="0035529B" w:rsidP="0035529B">
      <w:r w:rsidRPr="00B40D29">
        <w:t xml:space="preserve">Following a Conservative Party leadership contest, Liz Truss became Prime Minister for a tumultuous seven weeks that ran through September and October.   Put simply, the markets did not like the unfunded tax-cutting and heavy spending policies put forward by her </w:t>
      </w:r>
      <w:r w:rsidRPr="00B40D29">
        <w:lastRenderedPageBreak/>
        <w:t xml:space="preserve">Chancellor, Kwasi Kwarteng, and their reign lasted barely seven weeks before being replaced by Prime Minister Rishi Sunak and Chancellor Jeremy Hunt.  Their Autumn Statement of the </w:t>
      </w:r>
      <w:proofErr w:type="gramStart"/>
      <w:r w:rsidRPr="00B40D29">
        <w:t>17th</w:t>
      </w:r>
      <w:proofErr w:type="gramEnd"/>
      <w:r w:rsidRPr="00B40D29">
        <w:t xml:space="preserve"> November gave rise to a net £55bn fiscal tightening, although much of the “heavy lifting” has been left for the next Parliament to deliver.  However, the markets liked what they heard, and UK gilt yields have completely reversed the increases seen under the previous tenants of No10/11 Downing Street.</w:t>
      </w:r>
    </w:p>
    <w:p w14:paraId="3DD71528" w14:textId="017AFBEA" w:rsidR="0035529B" w:rsidRPr="00B40D29" w:rsidRDefault="0035529B" w:rsidP="0035529B">
      <w:r w:rsidRPr="00B40D29">
        <w:t>Globally, though, all the major economies are expected to struggle in the near term.  The fall below 50 in the composite Purchasing Manager Indices for the UK, US, EZ and China all point to at least one, if not more, quarters of GDP contraction in 2023.  In November, the MPC projected eight quarters of negative growth for the UK lasting throughout 2023 and 2024, but with Bank Rate set to peak at lower levels than previously priced in by the markets and the fiscal tightening deferred to some extent, it is not clear that things will be as bad as first anticipated by the Bank. Indeed, their February Monetary Policy Report suggests five quarters of negative growth, albeit a shallow recession with GDP expected to shrink 0.5% in 2023 and 0.25% in 2024.</w:t>
      </w:r>
    </w:p>
    <w:p w14:paraId="159DF11E" w14:textId="77777777" w:rsidR="0035529B" w:rsidRPr="00B40D29" w:rsidRDefault="0035529B" w:rsidP="0035529B">
      <w:r w:rsidRPr="00B40D29">
        <w:t>The £ has remained resilient of late, recovering from a record low of $1.035, on the Monday following the Truss government’s “fiscal event”, to $1.22. Notwithstanding the £’s better run of late, 2023 is likely to see a housing correction of some magnitude as fixed-rate mortgages have moved above 5% and affordability has been squeezed despite proposed Stamp Duty cuts remaining in place.</w:t>
      </w:r>
    </w:p>
    <w:p w14:paraId="661EF01C" w14:textId="63871716" w:rsidR="0035529B" w:rsidRPr="00B40D29" w:rsidRDefault="0035529B" w:rsidP="0035529B">
      <w:r w:rsidRPr="00B40D29">
        <w:t>In the table below, the rise in gilt yields, and therein PWLB rates, through the first nine months of 2022/23 is clear to see.</w:t>
      </w:r>
    </w:p>
    <w:p w14:paraId="508D81CE" w14:textId="3D823080" w:rsidR="0035529B" w:rsidRPr="00B40D29" w:rsidRDefault="0035529B" w:rsidP="0035529B">
      <w:r w:rsidRPr="00B40D29">
        <w:rPr>
          <w:noProof/>
        </w:rPr>
        <w:drawing>
          <wp:inline distT="0" distB="0" distL="0" distR="0" wp14:anchorId="577A94B5" wp14:editId="18923EDC">
            <wp:extent cx="5761355" cy="3237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3237230"/>
                    </a:xfrm>
                    <a:prstGeom prst="rect">
                      <a:avLst/>
                    </a:prstGeom>
                    <a:noFill/>
                  </pic:spPr>
                </pic:pic>
              </a:graphicData>
            </a:graphic>
          </wp:inline>
        </w:drawing>
      </w:r>
    </w:p>
    <w:p w14:paraId="284263A3" w14:textId="33AC2333" w:rsidR="00B74D11" w:rsidRDefault="00AD5349" w:rsidP="00B74D11">
      <w:r>
        <w:t>T</w:t>
      </w:r>
      <w:r w:rsidR="0035529B" w:rsidRPr="00B40D29">
        <w:t xml:space="preserve">he peak in rates on 28th September as illustrated in the table covering April to December 2022, has been followed by the whole curve shifting lower.   PWLB rates at the front end of the curve are generally </w:t>
      </w:r>
      <w:r>
        <w:t>around</w:t>
      </w:r>
      <w:r w:rsidR="0035529B" w:rsidRPr="00B40D29">
        <w:t xml:space="preserve"> 1% lower now whilst the 50 years is </w:t>
      </w:r>
      <w:r>
        <w:t xml:space="preserve">just under </w:t>
      </w:r>
      <w:r w:rsidR="0035529B" w:rsidRPr="00B40D29">
        <w:t>1% lower.</w:t>
      </w:r>
    </w:p>
    <w:p w14:paraId="267217B9" w14:textId="77777777" w:rsidR="0035529B" w:rsidRDefault="0035529B" w:rsidP="00B74D11"/>
    <w:p w14:paraId="4085736F" w14:textId="77777777" w:rsidR="0035529B" w:rsidRDefault="0035529B" w:rsidP="00B74D11">
      <w:pPr>
        <w:rPr>
          <w:highlight w:val="yellow"/>
        </w:rPr>
      </w:pPr>
    </w:p>
    <w:tbl>
      <w:tblPr>
        <w:tblW w:w="9132" w:type="dxa"/>
        <w:tblLook w:val="04A0" w:firstRow="1" w:lastRow="0" w:firstColumn="1" w:lastColumn="0" w:noHBand="0" w:noVBand="1"/>
      </w:tblPr>
      <w:tblGrid>
        <w:gridCol w:w="2077"/>
        <w:gridCol w:w="1411"/>
        <w:gridCol w:w="1411"/>
        <w:gridCol w:w="1411"/>
        <w:gridCol w:w="1411"/>
        <w:gridCol w:w="1411"/>
      </w:tblGrid>
      <w:tr w:rsidR="0035529B" w:rsidRPr="00B40D29" w14:paraId="436CFB92" w14:textId="77777777" w:rsidTr="00E276F9">
        <w:trPr>
          <w:trHeight w:val="308"/>
        </w:trPr>
        <w:tc>
          <w:tcPr>
            <w:tcW w:w="2077" w:type="dxa"/>
            <w:tcBorders>
              <w:top w:val="single" w:sz="8" w:space="0" w:color="auto"/>
              <w:left w:val="single" w:sz="8" w:space="0" w:color="auto"/>
              <w:bottom w:val="single" w:sz="4" w:space="0" w:color="auto"/>
              <w:right w:val="single" w:sz="4" w:space="0" w:color="auto"/>
            </w:tcBorders>
            <w:shd w:val="clear" w:color="auto" w:fill="4F81BD" w:themeFill="accent1"/>
            <w:noWrap/>
            <w:vAlign w:val="bottom"/>
            <w:hideMark/>
          </w:tcPr>
          <w:p w14:paraId="4BB1811B" w14:textId="77777777" w:rsidR="0035529B" w:rsidRPr="005C2453" w:rsidRDefault="0035529B" w:rsidP="00F31814">
            <w:pPr>
              <w:jc w:val="center"/>
              <w:rPr>
                <w:color w:val="FFFFFF"/>
                <w:lang w:eastAsia="en-GB"/>
              </w:rPr>
            </w:pPr>
            <w:r w:rsidRPr="005C2453">
              <w:rPr>
                <w:color w:val="FFFFFF"/>
                <w:lang w:eastAsia="en-GB"/>
              </w:rPr>
              <w:t> </w:t>
            </w:r>
          </w:p>
        </w:tc>
        <w:tc>
          <w:tcPr>
            <w:tcW w:w="1411" w:type="dxa"/>
            <w:tcBorders>
              <w:top w:val="single" w:sz="8" w:space="0" w:color="auto"/>
              <w:left w:val="single" w:sz="8" w:space="0" w:color="auto"/>
              <w:bottom w:val="single" w:sz="4" w:space="0" w:color="auto"/>
              <w:right w:val="single" w:sz="4" w:space="0" w:color="auto"/>
            </w:tcBorders>
            <w:shd w:val="clear" w:color="auto" w:fill="4F81BD" w:themeFill="accent1"/>
            <w:noWrap/>
            <w:vAlign w:val="bottom"/>
            <w:hideMark/>
          </w:tcPr>
          <w:p w14:paraId="73B2B47C" w14:textId="77777777" w:rsidR="0035529B" w:rsidRPr="00B40D29" w:rsidRDefault="0035529B" w:rsidP="00F31814">
            <w:pPr>
              <w:jc w:val="center"/>
              <w:rPr>
                <w:color w:val="FFFFFF"/>
                <w:lang w:eastAsia="en-GB"/>
              </w:rPr>
            </w:pPr>
            <w:r w:rsidRPr="00B40D29">
              <w:rPr>
                <w:color w:val="FFFFFF"/>
                <w:lang w:eastAsia="en-GB"/>
              </w:rPr>
              <w:t>1 Year</w:t>
            </w:r>
          </w:p>
        </w:tc>
        <w:tc>
          <w:tcPr>
            <w:tcW w:w="1411" w:type="dxa"/>
            <w:tcBorders>
              <w:top w:val="single" w:sz="8" w:space="0" w:color="auto"/>
              <w:left w:val="single" w:sz="8" w:space="0" w:color="auto"/>
              <w:bottom w:val="single" w:sz="4" w:space="0" w:color="auto"/>
              <w:right w:val="single" w:sz="4" w:space="0" w:color="auto"/>
            </w:tcBorders>
            <w:shd w:val="clear" w:color="auto" w:fill="4F81BD" w:themeFill="accent1"/>
            <w:noWrap/>
            <w:vAlign w:val="bottom"/>
            <w:hideMark/>
          </w:tcPr>
          <w:p w14:paraId="29C2E46C" w14:textId="77777777" w:rsidR="0035529B" w:rsidRPr="00B40D29" w:rsidRDefault="0035529B" w:rsidP="00F31814">
            <w:pPr>
              <w:jc w:val="center"/>
              <w:rPr>
                <w:color w:val="FFFFFF"/>
                <w:lang w:eastAsia="en-GB"/>
              </w:rPr>
            </w:pPr>
            <w:r w:rsidRPr="00B40D29">
              <w:rPr>
                <w:color w:val="FFFFFF"/>
                <w:lang w:eastAsia="en-GB"/>
              </w:rPr>
              <w:t>5 Year</w:t>
            </w:r>
          </w:p>
        </w:tc>
        <w:tc>
          <w:tcPr>
            <w:tcW w:w="1411" w:type="dxa"/>
            <w:tcBorders>
              <w:top w:val="single" w:sz="8" w:space="0" w:color="auto"/>
              <w:left w:val="single" w:sz="8" w:space="0" w:color="auto"/>
              <w:bottom w:val="single" w:sz="4" w:space="0" w:color="auto"/>
              <w:right w:val="single" w:sz="4" w:space="0" w:color="auto"/>
            </w:tcBorders>
            <w:shd w:val="clear" w:color="auto" w:fill="4F81BD" w:themeFill="accent1"/>
            <w:noWrap/>
            <w:vAlign w:val="bottom"/>
            <w:hideMark/>
          </w:tcPr>
          <w:p w14:paraId="34C1C1F3" w14:textId="77777777" w:rsidR="0035529B" w:rsidRPr="00B40D29" w:rsidRDefault="0035529B" w:rsidP="00F31814">
            <w:pPr>
              <w:jc w:val="center"/>
              <w:rPr>
                <w:color w:val="FFFFFF"/>
                <w:lang w:eastAsia="en-GB"/>
              </w:rPr>
            </w:pPr>
            <w:r w:rsidRPr="00B40D29">
              <w:rPr>
                <w:color w:val="FFFFFF"/>
                <w:lang w:eastAsia="en-GB"/>
              </w:rPr>
              <w:t>10 Year</w:t>
            </w:r>
          </w:p>
        </w:tc>
        <w:tc>
          <w:tcPr>
            <w:tcW w:w="1411" w:type="dxa"/>
            <w:tcBorders>
              <w:top w:val="single" w:sz="8" w:space="0" w:color="auto"/>
              <w:left w:val="single" w:sz="8" w:space="0" w:color="auto"/>
              <w:bottom w:val="single" w:sz="4" w:space="0" w:color="auto"/>
              <w:right w:val="single" w:sz="4" w:space="0" w:color="auto"/>
            </w:tcBorders>
            <w:shd w:val="clear" w:color="auto" w:fill="4F81BD" w:themeFill="accent1"/>
            <w:noWrap/>
            <w:vAlign w:val="bottom"/>
            <w:hideMark/>
          </w:tcPr>
          <w:p w14:paraId="083A6265" w14:textId="77777777" w:rsidR="0035529B" w:rsidRPr="00B40D29" w:rsidRDefault="0035529B" w:rsidP="00F31814">
            <w:pPr>
              <w:jc w:val="center"/>
              <w:rPr>
                <w:color w:val="FFFFFF"/>
                <w:lang w:eastAsia="en-GB"/>
              </w:rPr>
            </w:pPr>
            <w:r w:rsidRPr="00B40D29">
              <w:rPr>
                <w:color w:val="FFFFFF"/>
                <w:lang w:eastAsia="en-GB"/>
              </w:rPr>
              <w:t>25 Year</w:t>
            </w:r>
          </w:p>
        </w:tc>
        <w:tc>
          <w:tcPr>
            <w:tcW w:w="1411" w:type="dxa"/>
            <w:tcBorders>
              <w:top w:val="single" w:sz="8" w:space="0" w:color="auto"/>
              <w:left w:val="single" w:sz="8" w:space="0" w:color="auto"/>
              <w:bottom w:val="single" w:sz="4" w:space="0" w:color="auto"/>
              <w:right w:val="single" w:sz="4" w:space="0" w:color="auto"/>
            </w:tcBorders>
            <w:shd w:val="clear" w:color="auto" w:fill="4F81BD" w:themeFill="accent1"/>
            <w:noWrap/>
            <w:vAlign w:val="bottom"/>
            <w:hideMark/>
          </w:tcPr>
          <w:p w14:paraId="42DD6B5F" w14:textId="77777777" w:rsidR="0035529B" w:rsidRPr="00B40D29" w:rsidRDefault="0035529B" w:rsidP="00F31814">
            <w:pPr>
              <w:jc w:val="center"/>
              <w:rPr>
                <w:color w:val="FFFFFF"/>
                <w:lang w:eastAsia="en-GB"/>
              </w:rPr>
            </w:pPr>
            <w:r w:rsidRPr="00B40D29">
              <w:rPr>
                <w:color w:val="FFFFFF"/>
                <w:lang w:eastAsia="en-GB"/>
              </w:rPr>
              <w:t>50 Year</w:t>
            </w:r>
          </w:p>
        </w:tc>
      </w:tr>
      <w:tr w:rsidR="0035529B" w:rsidRPr="00B40D29" w14:paraId="6EAF0446" w14:textId="77777777" w:rsidTr="00E276F9">
        <w:trPr>
          <w:trHeight w:val="316"/>
        </w:trPr>
        <w:tc>
          <w:tcPr>
            <w:tcW w:w="2077" w:type="dxa"/>
            <w:tcBorders>
              <w:top w:val="nil"/>
              <w:left w:val="single" w:sz="8" w:space="0" w:color="auto"/>
              <w:bottom w:val="nil"/>
              <w:right w:val="nil"/>
            </w:tcBorders>
            <w:shd w:val="clear" w:color="auto" w:fill="DBE5F1" w:themeFill="accent1" w:themeFillTint="33"/>
            <w:vAlign w:val="center"/>
            <w:hideMark/>
          </w:tcPr>
          <w:p w14:paraId="46FBE4A2" w14:textId="77777777" w:rsidR="0035529B" w:rsidRPr="00B40D29" w:rsidRDefault="0035529B" w:rsidP="00F31814">
            <w:pPr>
              <w:jc w:val="center"/>
              <w:rPr>
                <w:b/>
                <w:bCs/>
                <w:color w:val="000000"/>
                <w:lang w:eastAsia="en-GB"/>
              </w:rPr>
            </w:pPr>
            <w:r w:rsidRPr="00B40D29">
              <w:rPr>
                <w:b/>
                <w:bCs/>
                <w:color w:val="000000"/>
                <w:lang w:eastAsia="en-GB"/>
              </w:rPr>
              <w:t>Low</w:t>
            </w:r>
          </w:p>
        </w:tc>
        <w:tc>
          <w:tcPr>
            <w:tcW w:w="1411" w:type="dxa"/>
            <w:tcBorders>
              <w:top w:val="nil"/>
              <w:left w:val="single" w:sz="8" w:space="0" w:color="auto"/>
              <w:bottom w:val="nil"/>
              <w:right w:val="single" w:sz="8" w:space="0" w:color="auto"/>
            </w:tcBorders>
            <w:shd w:val="clear" w:color="000000" w:fill="FFFFFF"/>
            <w:noWrap/>
            <w:vAlign w:val="center"/>
            <w:hideMark/>
          </w:tcPr>
          <w:p w14:paraId="487EF776" w14:textId="77777777" w:rsidR="0035529B" w:rsidRPr="00B40D29" w:rsidRDefault="0035529B" w:rsidP="00F31814">
            <w:pPr>
              <w:jc w:val="center"/>
              <w:rPr>
                <w:color w:val="0D0D0D"/>
                <w:lang w:eastAsia="en-GB"/>
              </w:rPr>
            </w:pPr>
            <w:r w:rsidRPr="00B40D29">
              <w:rPr>
                <w:color w:val="0D0D0D"/>
                <w:lang w:eastAsia="en-GB"/>
              </w:rPr>
              <w:t>1.95%</w:t>
            </w:r>
          </w:p>
        </w:tc>
        <w:tc>
          <w:tcPr>
            <w:tcW w:w="1411" w:type="dxa"/>
            <w:tcBorders>
              <w:top w:val="nil"/>
              <w:left w:val="nil"/>
              <w:bottom w:val="nil"/>
              <w:right w:val="single" w:sz="8" w:space="0" w:color="auto"/>
            </w:tcBorders>
            <w:shd w:val="clear" w:color="000000" w:fill="FFFFFF"/>
            <w:noWrap/>
            <w:vAlign w:val="center"/>
            <w:hideMark/>
          </w:tcPr>
          <w:p w14:paraId="49E85730" w14:textId="77777777" w:rsidR="0035529B" w:rsidRPr="00B40D29" w:rsidRDefault="0035529B" w:rsidP="00F31814">
            <w:pPr>
              <w:jc w:val="center"/>
              <w:rPr>
                <w:color w:val="0D0D0D"/>
                <w:lang w:eastAsia="en-GB"/>
              </w:rPr>
            </w:pPr>
            <w:r w:rsidRPr="00B40D29">
              <w:rPr>
                <w:color w:val="0D0D0D"/>
                <w:lang w:eastAsia="en-GB"/>
              </w:rPr>
              <w:t>2.18%</w:t>
            </w:r>
          </w:p>
        </w:tc>
        <w:tc>
          <w:tcPr>
            <w:tcW w:w="1411" w:type="dxa"/>
            <w:tcBorders>
              <w:top w:val="nil"/>
              <w:left w:val="nil"/>
              <w:bottom w:val="nil"/>
              <w:right w:val="single" w:sz="8" w:space="0" w:color="auto"/>
            </w:tcBorders>
            <w:shd w:val="clear" w:color="000000" w:fill="FFFFFF"/>
            <w:noWrap/>
            <w:vAlign w:val="center"/>
            <w:hideMark/>
          </w:tcPr>
          <w:p w14:paraId="7165A6CC" w14:textId="77777777" w:rsidR="0035529B" w:rsidRPr="00B40D29" w:rsidRDefault="0035529B" w:rsidP="00F31814">
            <w:pPr>
              <w:jc w:val="center"/>
              <w:rPr>
                <w:color w:val="0D0D0D"/>
                <w:lang w:eastAsia="en-GB"/>
              </w:rPr>
            </w:pPr>
            <w:r w:rsidRPr="00B40D29">
              <w:rPr>
                <w:color w:val="0D0D0D"/>
                <w:lang w:eastAsia="en-GB"/>
              </w:rPr>
              <w:t>2.36%</w:t>
            </w:r>
          </w:p>
        </w:tc>
        <w:tc>
          <w:tcPr>
            <w:tcW w:w="1411" w:type="dxa"/>
            <w:tcBorders>
              <w:top w:val="nil"/>
              <w:left w:val="nil"/>
              <w:bottom w:val="nil"/>
              <w:right w:val="single" w:sz="8" w:space="0" w:color="auto"/>
            </w:tcBorders>
            <w:shd w:val="clear" w:color="000000" w:fill="FFFFFF"/>
            <w:noWrap/>
            <w:vAlign w:val="center"/>
            <w:hideMark/>
          </w:tcPr>
          <w:p w14:paraId="63BCE28F" w14:textId="77777777" w:rsidR="0035529B" w:rsidRPr="00B40D29" w:rsidRDefault="0035529B" w:rsidP="00F31814">
            <w:pPr>
              <w:jc w:val="center"/>
              <w:rPr>
                <w:color w:val="0D0D0D"/>
                <w:lang w:eastAsia="en-GB"/>
              </w:rPr>
            </w:pPr>
            <w:r w:rsidRPr="00B40D29">
              <w:rPr>
                <w:color w:val="0D0D0D"/>
                <w:lang w:eastAsia="en-GB"/>
              </w:rPr>
              <w:t>2.52%</w:t>
            </w:r>
          </w:p>
        </w:tc>
        <w:tc>
          <w:tcPr>
            <w:tcW w:w="1411" w:type="dxa"/>
            <w:tcBorders>
              <w:top w:val="nil"/>
              <w:left w:val="nil"/>
              <w:bottom w:val="nil"/>
              <w:right w:val="single" w:sz="8" w:space="0" w:color="auto"/>
            </w:tcBorders>
            <w:shd w:val="clear" w:color="000000" w:fill="FFFFFF"/>
            <w:noWrap/>
            <w:vAlign w:val="center"/>
            <w:hideMark/>
          </w:tcPr>
          <w:p w14:paraId="604C6AEE" w14:textId="77777777" w:rsidR="0035529B" w:rsidRPr="00B40D29" w:rsidRDefault="0035529B" w:rsidP="00F31814">
            <w:pPr>
              <w:jc w:val="center"/>
              <w:rPr>
                <w:color w:val="0D0D0D"/>
                <w:lang w:eastAsia="en-GB"/>
              </w:rPr>
            </w:pPr>
            <w:r w:rsidRPr="00B40D29">
              <w:rPr>
                <w:color w:val="0D0D0D"/>
                <w:lang w:eastAsia="en-GB"/>
              </w:rPr>
              <w:t>2.25%</w:t>
            </w:r>
          </w:p>
        </w:tc>
      </w:tr>
      <w:tr w:rsidR="0035529B" w:rsidRPr="00B40D29" w14:paraId="4A7C7AB4" w14:textId="77777777" w:rsidTr="00E276F9">
        <w:trPr>
          <w:trHeight w:val="316"/>
        </w:trPr>
        <w:tc>
          <w:tcPr>
            <w:tcW w:w="2077" w:type="dxa"/>
            <w:tcBorders>
              <w:top w:val="single" w:sz="8" w:space="0" w:color="auto"/>
              <w:left w:val="single" w:sz="8" w:space="0" w:color="auto"/>
              <w:bottom w:val="single" w:sz="8" w:space="0" w:color="auto"/>
              <w:right w:val="nil"/>
            </w:tcBorders>
            <w:shd w:val="clear" w:color="auto" w:fill="DBE5F1" w:themeFill="accent1" w:themeFillTint="33"/>
            <w:vAlign w:val="center"/>
            <w:hideMark/>
          </w:tcPr>
          <w:p w14:paraId="4B43ED23" w14:textId="77777777" w:rsidR="0035529B" w:rsidRPr="00B40D29" w:rsidRDefault="0035529B" w:rsidP="00F31814">
            <w:pPr>
              <w:jc w:val="center"/>
              <w:rPr>
                <w:b/>
                <w:bCs/>
                <w:color w:val="000000"/>
                <w:lang w:eastAsia="en-GB"/>
              </w:rPr>
            </w:pPr>
            <w:r w:rsidRPr="00B40D29">
              <w:rPr>
                <w:b/>
                <w:bCs/>
                <w:color w:val="000000"/>
                <w:lang w:eastAsia="en-GB"/>
              </w:rPr>
              <w:t>Date</w:t>
            </w:r>
          </w:p>
        </w:tc>
        <w:tc>
          <w:tcPr>
            <w:tcW w:w="141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ED2D5D" w14:textId="77777777" w:rsidR="0035529B" w:rsidRPr="00B40D29" w:rsidRDefault="0035529B" w:rsidP="00F31814">
            <w:pPr>
              <w:jc w:val="center"/>
              <w:rPr>
                <w:color w:val="0D0D0D"/>
                <w:lang w:eastAsia="en-GB"/>
              </w:rPr>
            </w:pPr>
            <w:r w:rsidRPr="00B40D29">
              <w:rPr>
                <w:color w:val="0D0D0D"/>
                <w:lang w:eastAsia="en-GB"/>
              </w:rPr>
              <w:t>01/04/2022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30F1ED80" w14:textId="77777777" w:rsidR="0035529B" w:rsidRPr="00B40D29" w:rsidRDefault="0035529B" w:rsidP="00F31814">
            <w:pPr>
              <w:jc w:val="center"/>
              <w:rPr>
                <w:color w:val="0D0D0D"/>
                <w:lang w:eastAsia="en-GB"/>
              </w:rPr>
            </w:pPr>
            <w:r w:rsidRPr="00B40D29">
              <w:rPr>
                <w:color w:val="0D0D0D"/>
                <w:lang w:eastAsia="en-GB"/>
              </w:rPr>
              <w:t>13/05/2022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4C31217D" w14:textId="77777777" w:rsidR="0035529B" w:rsidRPr="00B40D29" w:rsidRDefault="0035529B" w:rsidP="00F31814">
            <w:pPr>
              <w:jc w:val="center"/>
              <w:rPr>
                <w:color w:val="0D0D0D"/>
                <w:lang w:eastAsia="en-GB"/>
              </w:rPr>
            </w:pPr>
            <w:r w:rsidRPr="00B40D29">
              <w:rPr>
                <w:color w:val="0D0D0D"/>
                <w:lang w:eastAsia="en-GB"/>
              </w:rPr>
              <w:t>04/04/2022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13DE9806" w14:textId="77777777" w:rsidR="0035529B" w:rsidRPr="00B40D29" w:rsidRDefault="0035529B" w:rsidP="00F31814">
            <w:pPr>
              <w:jc w:val="center"/>
              <w:rPr>
                <w:color w:val="0D0D0D"/>
                <w:lang w:eastAsia="en-GB"/>
              </w:rPr>
            </w:pPr>
            <w:r w:rsidRPr="00B40D29">
              <w:rPr>
                <w:color w:val="0D0D0D"/>
                <w:lang w:eastAsia="en-GB"/>
              </w:rPr>
              <w:t>04/04/2022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5D7AC8F6" w14:textId="77777777" w:rsidR="0035529B" w:rsidRPr="00B40D29" w:rsidRDefault="0035529B" w:rsidP="00F31814">
            <w:pPr>
              <w:jc w:val="center"/>
              <w:rPr>
                <w:color w:val="0D0D0D"/>
                <w:lang w:eastAsia="en-GB"/>
              </w:rPr>
            </w:pPr>
            <w:r w:rsidRPr="00B40D29">
              <w:rPr>
                <w:color w:val="0D0D0D"/>
                <w:lang w:eastAsia="en-GB"/>
              </w:rPr>
              <w:t>04/04/2022</w:t>
            </w:r>
          </w:p>
        </w:tc>
      </w:tr>
      <w:tr w:rsidR="0035529B" w:rsidRPr="00B40D29" w14:paraId="0A811E68" w14:textId="77777777" w:rsidTr="00E276F9">
        <w:trPr>
          <w:trHeight w:val="316"/>
        </w:trPr>
        <w:tc>
          <w:tcPr>
            <w:tcW w:w="2077" w:type="dxa"/>
            <w:tcBorders>
              <w:top w:val="nil"/>
              <w:left w:val="single" w:sz="8" w:space="0" w:color="auto"/>
              <w:bottom w:val="nil"/>
              <w:right w:val="nil"/>
            </w:tcBorders>
            <w:shd w:val="clear" w:color="auto" w:fill="DBE5F1" w:themeFill="accent1" w:themeFillTint="33"/>
            <w:vAlign w:val="center"/>
            <w:hideMark/>
          </w:tcPr>
          <w:p w14:paraId="247C3677" w14:textId="77777777" w:rsidR="0035529B" w:rsidRPr="00B40D29" w:rsidRDefault="0035529B" w:rsidP="00F31814">
            <w:pPr>
              <w:jc w:val="center"/>
              <w:rPr>
                <w:b/>
                <w:bCs/>
                <w:color w:val="000000"/>
                <w:lang w:eastAsia="en-GB"/>
              </w:rPr>
            </w:pPr>
            <w:r w:rsidRPr="00B40D29">
              <w:rPr>
                <w:b/>
                <w:bCs/>
                <w:color w:val="000000"/>
                <w:lang w:eastAsia="en-GB"/>
              </w:rPr>
              <w:t>High</w:t>
            </w:r>
          </w:p>
        </w:tc>
        <w:tc>
          <w:tcPr>
            <w:tcW w:w="1411" w:type="dxa"/>
            <w:tcBorders>
              <w:top w:val="nil"/>
              <w:left w:val="single" w:sz="8" w:space="0" w:color="auto"/>
              <w:bottom w:val="nil"/>
              <w:right w:val="single" w:sz="8" w:space="0" w:color="auto"/>
            </w:tcBorders>
            <w:shd w:val="clear" w:color="auto" w:fill="auto"/>
            <w:noWrap/>
            <w:vAlign w:val="bottom"/>
            <w:hideMark/>
          </w:tcPr>
          <w:p w14:paraId="4C423C5C" w14:textId="77777777" w:rsidR="0035529B" w:rsidRPr="00B40D29" w:rsidRDefault="0035529B" w:rsidP="00F31814">
            <w:pPr>
              <w:jc w:val="center"/>
              <w:rPr>
                <w:color w:val="0D0D0D"/>
                <w:lang w:eastAsia="en-GB"/>
              </w:rPr>
            </w:pPr>
            <w:r w:rsidRPr="00B40D29">
              <w:rPr>
                <w:color w:val="0D0D0D"/>
                <w:lang w:eastAsia="en-GB"/>
              </w:rPr>
              <w:t>5.11%</w:t>
            </w:r>
          </w:p>
        </w:tc>
        <w:tc>
          <w:tcPr>
            <w:tcW w:w="1411" w:type="dxa"/>
            <w:tcBorders>
              <w:top w:val="nil"/>
              <w:left w:val="nil"/>
              <w:bottom w:val="nil"/>
              <w:right w:val="single" w:sz="8" w:space="0" w:color="auto"/>
            </w:tcBorders>
            <w:shd w:val="clear" w:color="auto" w:fill="auto"/>
            <w:noWrap/>
            <w:vAlign w:val="bottom"/>
            <w:hideMark/>
          </w:tcPr>
          <w:p w14:paraId="24127A0D" w14:textId="77777777" w:rsidR="0035529B" w:rsidRPr="00B40D29" w:rsidRDefault="0035529B" w:rsidP="00F31814">
            <w:pPr>
              <w:jc w:val="center"/>
              <w:rPr>
                <w:color w:val="0D0D0D"/>
                <w:lang w:eastAsia="en-GB"/>
              </w:rPr>
            </w:pPr>
            <w:r w:rsidRPr="00B40D29">
              <w:rPr>
                <w:color w:val="0D0D0D"/>
                <w:lang w:eastAsia="en-GB"/>
              </w:rPr>
              <w:t>5.44%</w:t>
            </w:r>
          </w:p>
        </w:tc>
        <w:tc>
          <w:tcPr>
            <w:tcW w:w="1411" w:type="dxa"/>
            <w:tcBorders>
              <w:top w:val="nil"/>
              <w:left w:val="nil"/>
              <w:bottom w:val="nil"/>
              <w:right w:val="single" w:sz="8" w:space="0" w:color="auto"/>
            </w:tcBorders>
            <w:shd w:val="clear" w:color="auto" w:fill="auto"/>
            <w:noWrap/>
            <w:vAlign w:val="bottom"/>
            <w:hideMark/>
          </w:tcPr>
          <w:p w14:paraId="73E11C63" w14:textId="77777777" w:rsidR="0035529B" w:rsidRPr="00B40D29" w:rsidRDefault="0035529B" w:rsidP="00F31814">
            <w:pPr>
              <w:jc w:val="center"/>
              <w:rPr>
                <w:color w:val="0D0D0D"/>
                <w:lang w:eastAsia="en-GB"/>
              </w:rPr>
            </w:pPr>
            <w:r w:rsidRPr="00B40D29">
              <w:rPr>
                <w:color w:val="0D0D0D"/>
                <w:lang w:eastAsia="en-GB"/>
              </w:rPr>
              <w:t>5.45%</w:t>
            </w:r>
          </w:p>
        </w:tc>
        <w:tc>
          <w:tcPr>
            <w:tcW w:w="1411" w:type="dxa"/>
            <w:tcBorders>
              <w:top w:val="nil"/>
              <w:left w:val="nil"/>
              <w:bottom w:val="nil"/>
              <w:right w:val="single" w:sz="8" w:space="0" w:color="auto"/>
            </w:tcBorders>
            <w:shd w:val="clear" w:color="auto" w:fill="auto"/>
            <w:noWrap/>
            <w:vAlign w:val="bottom"/>
            <w:hideMark/>
          </w:tcPr>
          <w:p w14:paraId="1E0AEFBD" w14:textId="77777777" w:rsidR="0035529B" w:rsidRPr="00B40D29" w:rsidRDefault="0035529B" w:rsidP="00F31814">
            <w:pPr>
              <w:jc w:val="center"/>
              <w:rPr>
                <w:color w:val="0D0D0D"/>
                <w:lang w:eastAsia="en-GB"/>
              </w:rPr>
            </w:pPr>
            <w:r w:rsidRPr="00B40D29">
              <w:rPr>
                <w:color w:val="0D0D0D"/>
                <w:lang w:eastAsia="en-GB"/>
              </w:rPr>
              <w:t>5.88%</w:t>
            </w:r>
          </w:p>
        </w:tc>
        <w:tc>
          <w:tcPr>
            <w:tcW w:w="1411" w:type="dxa"/>
            <w:tcBorders>
              <w:top w:val="nil"/>
              <w:left w:val="nil"/>
              <w:bottom w:val="nil"/>
              <w:right w:val="single" w:sz="8" w:space="0" w:color="auto"/>
            </w:tcBorders>
            <w:shd w:val="clear" w:color="auto" w:fill="auto"/>
            <w:noWrap/>
            <w:vAlign w:val="bottom"/>
            <w:hideMark/>
          </w:tcPr>
          <w:p w14:paraId="249BDD2F" w14:textId="77777777" w:rsidR="0035529B" w:rsidRPr="00B40D29" w:rsidRDefault="0035529B" w:rsidP="00F31814">
            <w:pPr>
              <w:jc w:val="center"/>
              <w:rPr>
                <w:color w:val="0D0D0D"/>
                <w:lang w:eastAsia="en-GB"/>
              </w:rPr>
            </w:pPr>
            <w:r w:rsidRPr="00B40D29">
              <w:rPr>
                <w:color w:val="0D0D0D"/>
                <w:lang w:eastAsia="en-GB"/>
              </w:rPr>
              <w:t>5.51%</w:t>
            </w:r>
          </w:p>
        </w:tc>
      </w:tr>
      <w:tr w:rsidR="0035529B" w:rsidRPr="00B40D29" w14:paraId="510A3464" w14:textId="77777777" w:rsidTr="00E276F9">
        <w:trPr>
          <w:trHeight w:val="316"/>
        </w:trPr>
        <w:tc>
          <w:tcPr>
            <w:tcW w:w="2077" w:type="dxa"/>
            <w:tcBorders>
              <w:top w:val="single" w:sz="8" w:space="0" w:color="auto"/>
              <w:left w:val="single" w:sz="8" w:space="0" w:color="auto"/>
              <w:bottom w:val="single" w:sz="8" w:space="0" w:color="auto"/>
              <w:right w:val="nil"/>
            </w:tcBorders>
            <w:shd w:val="clear" w:color="auto" w:fill="DBE5F1" w:themeFill="accent1" w:themeFillTint="33"/>
            <w:vAlign w:val="center"/>
            <w:hideMark/>
          </w:tcPr>
          <w:p w14:paraId="16783674" w14:textId="77777777" w:rsidR="0035529B" w:rsidRPr="00B40D29" w:rsidRDefault="0035529B" w:rsidP="00F31814">
            <w:pPr>
              <w:jc w:val="center"/>
              <w:rPr>
                <w:b/>
                <w:bCs/>
                <w:color w:val="000000"/>
                <w:lang w:eastAsia="en-GB"/>
              </w:rPr>
            </w:pPr>
            <w:r w:rsidRPr="00B40D29">
              <w:rPr>
                <w:b/>
                <w:bCs/>
                <w:color w:val="000000"/>
                <w:lang w:eastAsia="en-GB"/>
              </w:rPr>
              <w:t>Date</w:t>
            </w:r>
          </w:p>
        </w:tc>
        <w:tc>
          <w:tcPr>
            <w:tcW w:w="141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CDBC3C" w14:textId="77777777" w:rsidR="0035529B" w:rsidRPr="00B40D29" w:rsidRDefault="0035529B" w:rsidP="00F31814">
            <w:pPr>
              <w:jc w:val="center"/>
              <w:rPr>
                <w:color w:val="0D0D0D"/>
                <w:lang w:eastAsia="en-GB"/>
              </w:rPr>
            </w:pPr>
            <w:r w:rsidRPr="00B40D29">
              <w:rPr>
                <w:color w:val="0D0D0D"/>
                <w:lang w:eastAsia="en-GB"/>
              </w:rPr>
              <w:t>28/09/2022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1BBB1733" w14:textId="77777777" w:rsidR="0035529B" w:rsidRPr="00B40D29" w:rsidRDefault="0035529B" w:rsidP="00F31814">
            <w:pPr>
              <w:jc w:val="center"/>
              <w:rPr>
                <w:color w:val="0D0D0D"/>
                <w:lang w:eastAsia="en-GB"/>
              </w:rPr>
            </w:pPr>
            <w:r w:rsidRPr="00B40D29">
              <w:rPr>
                <w:color w:val="0D0D0D"/>
                <w:lang w:eastAsia="en-GB"/>
              </w:rPr>
              <w:t>28/09/2022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7375CB5A" w14:textId="77777777" w:rsidR="0035529B" w:rsidRPr="00B40D29" w:rsidRDefault="0035529B" w:rsidP="00F31814">
            <w:pPr>
              <w:jc w:val="center"/>
              <w:rPr>
                <w:color w:val="0D0D0D"/>
                <w:lang w:eastAsia="en-GB"/>
              </w:rPr>
            </w:pPr>
            <w:r w:rsidRPr="00B40D29">
              <w:rPr>
                <w:color w:val="0D0D0D"/>
                <w:lang w:eastAsia="en-GB"/>
              </w:rPr>
              <w:t>12/10/2022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09073502" w14:textId="77777777" w:rsidR="0035529B" w:rsidRPr="00B40D29" w:rsidRDefault="0035529B" w:rsidP="00F31814">
            <w:pPr>
              <w:jc w:val="center"/>
              <w:rPr>
                <w:color w:val="0D0D0D"/>
                <w:lang w:eastAsia="en-GB"/>
              </w:rPr>
            </w:pPr>
            <w:r w:rsidRPr="00B40D29">
              <w:rPr>
                <w:color w:val="0D0D0D"/>
                <w:lang w:eastAsia="en-GB"/>
              </w:rPr>
              <w:t>12/10/2022</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14:paraId="74894432" w14:textId="77777777" w:rsidR="0035529B" w:rsidRPr="00B40D29" w:rsidRDefault="0035529B" w:rsidP="00F31814">
            <w:pPr>
              <w:jc w:val="center"/>
              <w:rPr>
                <w:color w:val="0D0D0D"/>
                <w:lang w:eastAsia="en-GB"/>
              </w:rPr>
            </w:pPr>
            <w:r w:rsidRPr="00B40D29">
              <w:rPr>
                <w:color w:val="0D0D0D"/>
                <w:lang w:eastAsia="en-GB"/>
              </w:rPr>
              <w:t>28/09/2022</w:t>
            </w:r>
          </w:p>
        </w:tc>
      </w:tr>
      <w:tr w:rsidR="0035529B" w:rsidRPr="00B40D29" w14:paraId="43220E5A" w14:textId="77777777" w:rsidTr="00E276F9">
        <w:trPr>
          <w:trHeight w:val="316"/>
        </w:trPr>
        <w:tc>
          <w:tcPr>
            <w:tcW w:w="2077" w:type="dxa"/>
            <w:tcBorders>
              <w:top w:val="nil"/>
              <w:left w:val="single" w:sz="8" w:space="0" w:color="auto"/>
              <w:bottom w:val="single" w:sz="8" w:space="0" w:color="auto"/>
              <w:right w:val="nil"/>
            </w:tcBorders>
            <w:shd w:val="clear" w:color="auto" w:fill="DBE5F1" w:themeFill="accent1" w:themeFillTint="33"/>
            <w:vAlign w:val="center"/>
            <w:hideMark/>
          </w:tcPr>
          <w:p w14:paraId="0F88AE7B" w14:textId="77777777" w:rsidR="0035529B" w:rsidRPr="00B40D29" w:rsidRDefault="0035529B" w:rsidP="00F31814">
            <w:pPr>
              <w:jc w:val="center"/>
              <w:rPr>
                <w:b/>
                <w:bCs/>
                <w:color w:val="000000"/>
                <w:lang w:eastAsia="en-GB"/>
              </w:rPr>
            </w:pPr>
            <w:r w:rsidRPr="00B40D29">
              <w:rPr>
                <w:b/>
                <w:bCs/>
                <w:color w:val="000000"/>
                <w:lang w:eastAsia="en-GB"/>
              </w:rPr>
              <w:t>Average</w:t>
            </w:r>
          </w:p>
        </w:tc>
        <w:tc>
          <w:tcPr>
            <w:tcW w:w="1411" w:type="dxa"/>
            <w:tcBorders>
              <w:top w:val="nil"/>
              <w:left w:val="single" w:sz="8" w:space="0" w:color="auto"/>
              <w:bottom w:val="single" w:sz="8" w:space="0" w:color="auto"/>
              <w:right w:val="single" w:sz="8" w:space="0" w:color="auto"/>
            </w:tcBorders>
            <w:shd w:val="clear" w:color="000000" w:fill="FFFFFF"/>
            <w:noWrap/>
            <w:vAlign w:val="center"/>
            <w:hideMark/>
          </w:tcPr>
          <w:p w14:paraId="099A6979" w14:textId="77777777" w:rsidR="0035529B" w:rsidRPr="00B40D29" w:rsidRDefault="0035529B" w:rsidP="00F31814">
            <w:pPr>
              <w:jc w:val="center"/>
              <w:rPr>
                <w:color w:val="0D0D0D"/>
                <w:lang w:eastAsia="en-GB"/>
              </w:rPr>
            </w:pPr>
            <w:r w:rsidRPr="00B40D29">
              <w:rPr>
                <w:color w:val="0D0D0D"/>
                <w:lang w:eastAsia="en-GB"/>
              </w:rPr>
              <w:t>3.26%</w:t>
            </w:r>
          </w:p>
        </w:tc>
        <w:tc>
          <w:tcPr>
            <w:tcW w:w="1411" w:type="dxa"/>
            <w:tcBorders>
              <w:top w:val="nil"/>
              <w:left w:val="nil"/>
              <w:bottom w:val="single" w:sz="8" w:space="0" w:color="auto"/>
              <w:right w:val="single" w:sz="8" w:space="0" w:color="auto"/>
            </w:tcBorders>
            <w:shd w:val="clear" w:color="000000" w:fill="FFFFFF"/>
            <w:noWrap/>
            <w:vAlign w:val="center"/>
            <w:hideMark/>
          </w:tcPr>
          <w:p w14:paraId="03CCF0B2" w14:textId="77777777" w:rsidR="0035529B" w:rsidRPr="00B40D29" w:rsidRDefault="0035529B" w:rsidP="00F31814">
            <w:pPr>
              <w:jc w:val="center"/>
              <w:rPr>
                <w:color w:val="0D0D0D"/>
                <w:lang w:eastAsia="en-GB"/>
              </w:rPr>
            </w:pPr>
            <w:r w:rsidRPr="00B40D29">
              <w:rPr>
                <w:color w:val="0D0D0D"/>
                <w:lang w:eastAsia="en-GB"/>
              </w:rPr>
              <w:t>3.41%</w:t>
            </w:r>
          </w:p>
        </w:tc>
        <w:tc>
          <w:tcPr>
            <w:tcW w:w="1411" w:type="dxa"/>
            <w:tcBorders>
              <w:top w:val="nil"/>
              <w:left w:val="nil"/>
              <w:bottom w:val="single" w:sz="8" w:space="0" w:color="auto"/>
              <w:right w:val="single" w:sz="8" w:space="0" w:color="auto"/>
            </w:tcBorders>
            <w:shd w:val="clear" w:color="000000" w:fill="FFFFFF"/>
            <w:noWrap/>
            <w:vAlign w:val="center"/>
            <w:hideMark/>
          </w:tcPr>
          <w:p w14:paraId="683A96CE" w14:textId="77777777" w:rsidR="0035529B" w:rsidRPr="00B40D29" w:rsidRDefault="0035529B" w:rsidP="00F31814">
            <w:pPr>
              <w:jc w:val="center"/>
              <w:rPr>
                <w:color w:val="0D0D0D"/>
                <w:lang w:eastAsia="en-GB"/>
              </w:rPr>
            </w:pPr>
            <w:r w:rsidRPr="00B40D29">
              <w:rPr>
                <w:color w:val="0D0D0D"/>
                <w:lang w:eastAsia="en-GB"/>
              </w:rPr>
              <w:t>3.57%</w:t>
            </w:r>
          </w:p>
        </w:tc>
        <w:tc>
          <w:tcPr>
            <w:tcW w:w="1411" w:type="dxa"/>
            <w:tcBorders>
              <w:top w:val="nil"/>
              <w:left w:val="nil"/>
              <w:bottom w:val="single" w:sz="8" w:space="0" w:color="auto"/>
              <w:right w:val="single" w:sz="8" w:space="0" w:color="auto"/>
            </w:tcBorders>
            <w:shd w:val="clear" w:color="000000" w:fill="FFFFFF"/>
            <w:noWrap/>
            <w:vAlign w:val="center"/>
            <w:hideMark/>
          </w:tcPr>
          <w:p w14:paraId="2AB85B3E" w14:textId="77777777" w:rsidR="0035529B" w:rsidRPr="00B40D29" w:rsidRDefault="0035529B" w:rsidP="00F31814">
            <w:pPr>
              <w:jc w:val="center"/>
              <w:rPr>
                <w:color w:val="0D0D0D"/>
                <w:lang w:eastAsia="en-GB"/>
              </w:rPr>
            </w:pPr>
            <w:r w:rsidRPr="00B40D29">
              <w:rPr>
                <w:color w:val="0D0D0D"/>
                <w:lang w:eastAsia="en-GB"/>
              </w:rPr>
              <w:t>3.85%</w:t>
            </w:r>
          </w:p>
        </w:tc>
        <w:tc>
          <w:tcPr>
            <w:tcW w:w="1411" w:type="dxa"/>
            <w:tcBorders>
              <w:top w:val="nil"/>
              <w:left w:val="nil"/>
              <w:bottom w:val="single" w:sz="8" w:space="0" w:color="auto"/>
              <w:right w:val="single" w:sz="8" w:space="0" w:color="auto"/>
            </w:tcBorders>
            <w:shd w:val="clear" w:color="000000" w:fill="FFFFFF"/>
            <w:noWrap/>
            <w:vAlign w:val="center"/>
            <w:hideMark/>
          </w:tcPr>
          <w:p w14:paraId="7D911D68" w14:textId="77777777" w:rsidR="0035529B" w:rsidRPr="00B40D29" w:rsidRDefault="0035529B" w:rsidP="00F31814">
            <w:pPr>
              <w:jc w:val="center"/>
              <w:rPr>
                <w:color w:val="0D0D0D"/>
                <w:lang w:eastAsia="en-GB"/>
              </w:rPr>
            </w:pPr>
            <w:r w:rsidRPr="00B40D29">
              <w:rPr>
                <w:color w:val="0D0D0D"/>
                <w:lang w:eastAsia="en-GB"/>
              </w:rPr>
              <w:t>3.51%</w:t>
            </w:r>
          </w:p>
        </w:tc>
      </w:tr>
      <w:tr w:rsidR="0035529B" w:rsidRPr="00B40D29" w14:paraId="20CC272D" w14:textId="77777777" w:rsidTr="00E276F9">
        <w:trPr>
          <w:trHeight w:val="316"/>
        </w:trPr>
        <w:tc>
          <w:tcPr>
            <w:tcW w:w="2077" w:type="dxa"/>
            <w:tcBorders>
              <w:top w:val="nil"/>
              <w:left w:val="single" w:sz="8" w:space="0" w:color="auto"/>
              <w:bottom w:val="single" w:sz="8" w:space="0" w:color="auto"/>
              <w:right w:val="nil"/>
            </w:tcBorders>
            <w:shd w:val="clear" w:color="auto" w:fill="DBE5F1" w:themeFill="accent1" w:themeFillTint="33"/>
            <w:vAlign w:val="center"/>
            <w:hideMark/>
          </w:tcPr>
          <w:p w14:paraId="0C8D5802" w14:textId="77777777" w:rsidR="0035529B" w:rsidRPr="00B40D29" w:rsidRDefault="0035529B" w:rsidP="00F31814">
            <w:pPr>
              <w:jc w:val="center"/>
              <w:rPr>
                <w:b/>
                <w:bCs/>
                <w:color w:val="000000"/>
                <w:lang w:eastAsia="en-GB"/>
              </w:rPr>
            </w:pPr>
            <w:r w:rsidRPr="00B40D29">
              <w:rPr>
                <w:b/>
                <w:bCs/>
                <w:color w:val="000000"/>
                <w:lang w:eastAsia="en-GB"/>
              </w:rPr>
              <w:t>Spread</w:t>
            </w:r>
          </w:p>
        </w:tc>
        <w:tc>
          <w:tcPr>
            <w:tcW w:w="1411" w:type="dxa"/>
            <w:tcBorders>
              <w:top w:val="nil"/>
              <w:left w:val="single" w:sz="8" w:space="0" w:color="auto"/>
              <w:bottom w:val="single" w:sz="8" w:space="0" w:color="auto"/>
              <w:right w:val="single" w:sz="8" w:space="0" w:color="auto"/>
            </w:tcBorders>
            <w:shd w:val="clear" w:color="000000" w:fill="FFFFFF"/>
            <w:noWrap/>
            <w:vAlign w:val="center"/>
            <w:hideMark/>
          </w:tcPr>
          <w:p w14:paraId="2575F8E1" w14:textId="77777777" w:rsidR="0035529B" w:rsidRPr="00B40D29" w:rsidRDefault="0035529B" w:rsidP="00F31814">
            <w:pPr>
              <w:jc w:val="center"/>
              <w:rPr>
                <w:color w:val="0D0D0D"/>
                <w:lang w:eastAsia="en-GB"/>
              </w:rPr>
            </w:pPr>
            <w:r w:rsidRPr="00B40D29">
              <w:rPr>
                <w:color w:val="0D0D0D"/>
                <w:lang w:eastAsia="en-GB"/>
              </w:rPr>
              <w:t>3.16%</w:t>
            </w:r>
          </w:p>
        </w:tc>
        <w:tc>
          <w:tcPr>
            <w:tcW w:w="1411" w:type="dxa"/>
            <w:tcBorders>
              <w:top w:val="nil"/>
              <w:left w:val="nil"/>
              <w:bottom w:val="single" w:sz="8" w:space="0" w:color="auto"/>
              <w:right w:val="single" w:sz="8" w:space="0" w:color="auto"/>
            </w:tcBorders>
            <w:shd w:val="clear" w:color="000000" w:fill="FFFFFF"/>
            <w:noWrap/>
            <w:vAlign w:val="center"/>
            <w:hideMark/>
          </w:tcPr>
          <w:p w14:paraId="39D99366" w14:textId="77777777" w:rsidR="0035529B" w:rsidRPr="00B40D29" w:rsidRDefault="0035529B" w:rsidP="00F31814">
            <w:pPr>
              <w:jc w:val="center"/>
              <w:rPr>
                <w:color w:val="0D0D0D"/>
                <w:lang w:eastAsia="en-GB"/>
              </w:rPr>
            </w:pPr>
            <w:r w:rsidRPr="00B40D29">
              <w:rPr>
                <w:color w:val="0D0D0D"/>
                <w:lang w:eastAsia="en-GB"/>
              </w:rPr>
              <w:t>3.26%</w:t>
            </w:r>
          </w:p>
        </w:tc>
        <w:tc>
          <w:tcPr>
            <w:tcW w:w="1411" w:type="dxa"/>
            <w:tcBorders>
              <w:top w:val="nil"/>
              <w:left w:val="nil"/>
              <w:bottom w:val="single" w:sz="8" w:space="0" w:color="auto"/>
              <w:right w:val="single" w:sz="8" w:space="0" w:color="auto"/>
            </w:tcBorders>
            <w:shd w:val="clear" w:color="000000" w:fill="FFFFFF"/>
            <w:noWrap/>
            <w:vAlign w:val="center"/>
            <w:hideMark/>
          </w:tcPr>
          <w:p w14:paraId="6AF88AB7" w14:textId="77777777" w:rsidR="0035529B" w:rsidRPr="00B40D29" w:rsidRDefault="0035529B" w:rsidP="00F31814">
            <w:pPr>
              <w:jc w:val="center"/>
              <w:rPr>
                <w:color w:val="0D0D0D"/>
                <w:lang w:eastAsia="en-GB"/>
              </w:rPr>
            </w:pPr>
            <w:r w:rsidRPr="00B40D29">
              <w:rPr>
                <w:color w:val="0D0D0D"/>
                <w:lang w:eastAsia="en-GB"/>
              </w:rPr>
              <w:t>3.09%</w:t>
            </w:r>
          </w:p>
        </w:tc>
        <w:tc>
          <w:tcPr>
            <w:tcW w:w="1411" w:type="dxa"/>
            <w:tcBorders>
              <w:top w:val="nil"/>
              <w:left w:val="nil"/>
              <w:bottom w:val="single" w:sz="8" w:space="0" w:color="auto"/>
              <w:right w:val="single" w:sz="8" w:space="0" w:color="auto"/>
            </w:tcBorders>
            <w:shd w:val="clear" w:color="000000" w:fill="FFFFFF"/>
            <w:noWrap/>
            <w:vAlign w:val="center"/>
            <w:hideMark/>
          </w:tcPr>
          <w:p w14:paraId="5BEE8670" w14:textId="77777777" w:rsidR="0035529B" w:rsidRPr="00B40D29" w:rsidRDefault="0035529B" w:rsidP="00F31814">
            <w:pPr>
              <w:jc w:val="center"/>
              <w:rPr>
                <w:color w:val="0D0D0D"/>
                <w:lang w:eastAsia="en-GB"/>
              </w:rPr>
            </w:pPr>
            <w:r w:rsidRPr="00B40D29">
              <w:rPr>
                <w:color w:val="0D0D0D"/>
                <w:lang w:eastAsia="en-GB"/>
              </w:rPr>
              <w:t>3.36%</w:t>
            </w:r>
          </w:p>
        </w:tc>
        <w:tc>
          <w:tcPr>
            <w:tcW w:w="1411" w:type="dxa"/>
            <w:tcBorders>
              <w:top w:val="nil"/>
              <w:left w:val="nil"/>
              <w:bottom w:val="single" w:sz="8" w:space="0" w:color="auto"/>
              <w:right w:val="single" w:sz="8" w:space="0" w:color="auto"/>
            </w:tcBorders>
            <w:shd w:val="clear" w:color="000000" w:fill="FFFFFF"/>
            <w:noWrap/>
            <w:vAlign w:val="center"/>
            <w:hideMark/>
          </w:tcPr>
          <w:p w14:paraId="68A86F8B" w14:textId="77777777" w:rsidR="0035529B" w:rsidRPr="00B40D29" w:rsidRDefault="0035529B" w:rsidP="00F31814">
            <w:pPr>
              <w:jc w:val="center"/>
              <w:rPr>
                <w:color w:val="0D0D0D"/>
                <w:lang w:eastAsia="en-GB"/>
              </w:rPr>
            </w:pPr>
            <w:r w:rsidRPr="00B40D29">
              <w:rPr>
                <w:color w:val="0D0D0D"/>
                <w:lang w:eastAsia="en-GB"/>
              </w:rPr>
              <w:t>3.26%</w:t>
            </w:r>
          </w:p>
        </w:tc>
      </w:tr>
    </w:tbl>
    <w:p w14:paraId="5B43DFF9" w14:textId="25B57BD7" w:rsidR="00B74D11" w:rsidRPr="00B40D29" w:rsidRDefault="0035529B" w:rsidP="00FB3AC0">
      <w:r w:rsidRPr="00B40D29">
        <w:t xml:space="preserve">The S&amp;P 500 and FTSE 100 have climbed in the early weeks of 2023, albeit the former finished 19% down in 2022 whilst the latter finished up 1%.  </w:t>
      </w:r>
    </w:p>
    <w:p w14:paraId="11535500" w14:textId="77777777" w:rsidR="00E276F9" w:rsidRPr="00B40D29" w:rsidRDefault="00E276F9" w:rsidP="00FB3AC0">
      <w:pPr>
        <w:pStyle w:val="Heading2"/>
        <w:rPr>
          <w:rFonts w:eastAsia="Arial"/>
        </w:rPr>
      </w:pPr>
      <w:bookmarkStart w:id="1" w:name="_Toc98501389"/>
    </w:p>
    <w:p w14:paraId="2B3E13C5" w14:textId="3785567A" w:rsidR="00FB3AC0" w:rsidRPr="00B40D29" w:rsidRDefault="00BE578E" w:rsidP="00FB3AC0">
      <w:pPr>
        <w:pStyle w:val="Heading2"/>
        <w:rPr>
          <w:bCs w:val="0"/>
        </w:rPr>
      </w:pPr>
      <w:r w:rsidRPr="00B40D29">
        <w:rPr>
          <w:rFonts w:eastAsia="Arial"/>
        </w:rPr>
        <w:t xml:space="preserve">2.2 </w:t>
      </w:r>
      <w:r w:rsidR="0035529B" w:rsidRPr="00B40D29">
        <w:rPr>
          <w:rFonts w:eastAsia="Arial"/>
        </w:rPr>
        <w:t>Central Bank Concerns</w:t>
      </w:r>
      <w:bookmarkEnd w:id="1"/>
    </w:p>
    <w:p w14:paraId="420C449A" w14:textId="3FDC26EC" w:rsidR="00FB3AC0" w:rsidRPr="00B40D29" w:rsidRDefault="0035529B" w:rsidP="0035529B">
      <w:pPr>
        <w:spacing w:before="0" w:after="240"/>
        <w:rPr>
          <w:b/>
          <w:bCs/>
        </w:rPr>
      </w:pPr>
      <w:r w:rsidRPr="00B40D29">
        <w:t>In December, the Fed decided to push up US rates by 0.5% to a range of 4.25% to 4.5%, whilst the MPC followed by raising Bank Rate from 3% to 3.5%, in line with market expectations.  EZ rates have also increased to 2% with further tightening in the pipeline</w:t>
      </w:r>
      <w:r w:rsidRPr="00B40D29">
        <w:rPr>
          <w:b/>
          <w:bCs/>
        </w:rPr>
        <w:t>.</w:t>
      </w:r>
    </w:p>
    <w:p w14:paraId="6C9222D5" w14:textId="77777777" w:rsidR="0035529B" w:rsidRPr="00B40D29" w:rsidRDefault="0035529B" w:rsidP="0035529B">
      <w:pPr>
        <w:spacing w:before="0" w:after="240"/>
      </w:pPr>
      <w:r w:rsidRPr="00B40D29">
        <w:t>Having said that, the sentiment expressed in the press conferences in the US and the UK were very different.  In the US, Fed Chair, Jerome Powell, stated that rates will be elevated and stay higher for longer than markets had expected.  Governor Bailey, here in the UK, said the opposite and explained that the two economies are positioned very differently so you should not, therefore, expect the same policy or messaging.</w:t>
      </w:r>
    </w:p>
    <w:p w14:paraId="7BCDFDDA" w14:textId="33F29480" w:rsidR="0035529B" w:rsidRPr="00B40D29" w:rsidRDefault="0035529B" w:rsidP="0035529B">
      <w:pPr>
        <w:spacing w:before="0" w:after="240"/>
      </w:pPr>
      <w:r w:rsidRPr="00B40D29">
        <w:t>At the start of February, US rates have further increased by 0.25% to a range of 4.5% - 4.75%, whilst UK Bank Rate increased 0.5% to 4%.</w:t>
      </w:r>
    </w:p>
    <w:p w14:paraId="4A7EACA8" w14:textId="77777777" w:rsidR="0035529B" w:rsidRPr="00B40D29" w:rsidRDefault="0035529B" w:rsidP="0035529B">
      <w:pPr>
        <w:spacing w:before="0" w:after="240"/>
      </w:pPr>
      <w:r w:rsidRPr="00B40D29">
        <w:t>Regarding UK market expectations, although they now expect Bank Rate to peak within a lower range of 4.25% - 4.5%, caution is advised as the Bank of England Quarterly Monetary Policy Reports have carried a dovish message over the course of the last year, only for the Bank to have to play catch-up as the inflationary data and labour market have proven stronger than expected.</w:t>
      </w:r>
    </w:p>
    <w:p w14:paraId="124E7631" w14:textId="77777777" w:rsidR="00E276F9" w:rsidRPr="00B40D29" w:rsidRDefault="0035529B" w:rsidP="00E276F9">
      <w:pPr>
        <w:spacing w:before="0" w:after="240"/>
      </w:pPr>
      <w:r w:rsidRPr="00B40D29">
        <w:t>In addition, the Bank’s central message that GDP will fall for five quarters starting with Q1 2023 may prove to be a little pessimistic.  Will the excess savings accumulated by households through the Covid lockdowns provide a spending buffer for the economy – at least to a degree?  Ultimately, however, it will not only be inflation data but also employment data that will mostly impact the decision-making process, although any softening in the interest rate outlook in the US may also have an effect (just as, conversely, greater tightening may also).</w:t>
      </w:r>
    </w:p>
    <w:p w14:paraId="300199D6" w14:textId="4F3769E7" w:rsidR="00586C3A" w:rsidRPr="00B40D29" w:rsidRDefault="00132C17" w:rsidP="00586C3A">
      <w:pPr>
        <w:pStyle w:val="ListParagraph"/>
        <w:numPr>
          <w:ilvl w:val="1"/>
          <w:numId w:val="24"/>
        </w:numPr>
        <w:spacing w:before="0" w:after="240"/>
        <w:rPr>
          <w:b/>
          <w:bCs/>
        </w:rPr>
      </w:pPr>
      <w:r w:rsidRPr="00B40D29">
        <w:rPr>
          <w:b/>
          <w:bCs/>
        </w:rPr>
        <w:lastRenderedPageBreak/>
        <w:t>Interest Rate Forecasts</w:t>
      </w:r>
    </w:p>
    <w:p w14:paraId="7B7EF11A" w14:textId="6A6824FE" w:rsidR="00132C17" w:rsidRPr="00132C17" w:rsidRDefault="00132C17" w:rsidP="00132C17">
      <w:pPr>
        <w:spacing w:before="0" w:after="240"/>
      </w:pPr>
      <w:r w:rsidRPr="00B40D29">
        <w:t xml:space="preserve">The </w:t>
      </w:r>
      <w:r w:rsidR="000C5B7B">
        <w:t>Commissioner’s treasury advisors Link have</w:t>
      </w:r>
      <w:r w:rsidRPr="00B40D29">
        <w:t xml:space="preserve"> provided the following </w:t>
      </w:r>
      <w:r w:rsidR="000C5B7B">
        <w:t xml:space="preserve">interest rate </w:t>
      </w:r>
      <w:r w:rsidRPr="00B40D29">
        <w:t>forecasts on 07 February 2023.  These are forecasts for Bank Rate, average earnings and PWLB certainty rates, gilt yields plus 80 bps.</w:t>
      </w:r>
      <w:r w:rsidRPr="00132C17">
        <w:t xml:space="preserve">  </w:t>
      </w:r>
    </w:p>
    <w:p w14:paraId="7CD057F2" w14:textId="0B655940" w:rsidR="00586C3A" w:rsidRDefault="00132C17" w:rsidP="00132C17">
      <w:pPr>
        <w:spacing w:before="0" w:after="240"/>
        <w:rPr>
          <w:b/>
          <w:bCs/>
        </w:rPr>
      </w:pPr>
      <w:r>
        <w:rPr>
          <w:b/>
          <w:bCs/>
          <w:noProof/>
        </w:rPr>
        <w:drawing>
          <wp:inline distT="0" distB="0" distL="0" distR="0" wp14:anchorId="64E384D4" wp14:editId="796667A8">
            <wp:extent cx="5908757" cy="111935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0953" cy="1123557"/>
                    </a:xfrm>
                    <a:prstGeom prst="rect">
                      <a:avLst/>
                    </a:prstGeom>
                    <a:noFill/>
                  </pic:spPr>
                </pic:pic>
              </a:graphicData>
            </a:graphic>
          </wp:inline>
        </w:drawing>
      </w:r>
    </w:p>
    <w:p w14:paraId="51CE79CA" w14:textId="7069A89F" w:rsidR="00770E1C" w:rsidRPr="00FB3AC0" w:rsidRDefault="00586C3A" w:rsidP="00E276F9">
      <w:pPr>
        <w:spacing w:before="0" w:after="240"/>
        <w:rPr>
          <w:b/>
          <w:bCs/>
        </w:rPr>
      </w:pPr>
      <w:r>
        <w:rPr>
          <w:b/>
          <w:bCs/>
        </w:rPr>
        <w:t xml:space="preserve">2.4 </w:t>
      </w:r>
      <w:r w:rsidR="00770E1C" w:rsidRPr="00FB3AC0">
        <w:rPr>
          <w:b/>
          <w:bCs/>
        </w:rPr>
        <w:t>Local Context</w:t>
      </w:r>
    </w:p>
    <w:p w14:paraId="7F079675" w14:textId="502705C7" w:rsidR="00CD1133" w:rsidRPr="004A501B" w:rsidRDefault="00770E1C" w:rsidP="002D5343">
      <w:pPr>
        <w:rPr>
          <w:color w:val="FF0000"/>
        </w:rPr>
      </w:pPr>
      <w:r w:rsidRPr="004A501B">
        <w:t xml:space="preserve">On </w:t>
      </w:r>
      <w:r w:rsidR="00C3125C" w:rsidRPr="00C3125C">
        <w:t>28 February</w:t>
      </w:r>
      <w:r w:rsidRPr="00C3125C">
        <w:t xml:space="preserve"> 20</w:t>
      </w:r>
      <w:r w:rsidR="005308B1" w:rsidRPr="00C3125C">
        <w:t>2</w:t>
      </w:r>
      <w:r w:rsidR="00FF48AB" w:rsidRPr="00C3125C">
        <w:t>3</w:t>
      </w:r>
      <w:r w:rsidRPr="004A501B">
        <w:t xml:space="preserve">, the </w:t>
      </w:r>
      <w:r w:rsidR="00657EFA" w:rsidRPr="004A501B">
        <w:t>Commissioner</w:t>
      </w:r>
      <w:r w:rsidRPr="004A501B">
        <w:t xml:space="preserve"> held </w:t>
      </w:r>
      <w:r w:rsidRPr="0080358A">
        <w:t>£</w:t>
      </w:r>
      <w:r w:rsidR="00682094" w:rsidRPr="0080358A">
        <w:t>1</w:t>
      </w:r>
      <w:r w:rsidRPr="0080358A">
        <w:t>.</w:t>
      </w:r>
      <w:r w:rsidR="0080358A" w:rsidRPr="0080358A">
        <w:t>12</w:t>
      </w:r>
      <w:r w:rsidRPr="0080358A">
        <w:t xml:space="preserve">m of borrowing and </w:t>
      </w:r>
      <w:r w:rsidR="004B1B91" w:rsidRPr="0080358A">
        <w:t>£</w:t>
      </w:r>
      <w:r w:rsidR="00C3125C">
        <w:t>6</w:t>
      </w:r>
      <w:r w:rsidR="008C4190" w:rsidRPr="0080358A">
        <w:t>.00</w:t>
      </w:r>
      <w:r w:rsidR="004B1B91" w:rsidRPr="0080358A">
        <w:t>m</w:t>
      </w:r>
      <w:r w:rsidR="004B1B91" w:rsidRPr="004A501B">
        <w:t xml:space="preserve"> </w:t>
      </w:r>
      <w:r w:rsidRPr="004A501B">
        <w:t xml:space="preserve">of investments. This is set out in further detail at </w:t>
      </w:r>
      <w:r w:rsidRPr="004A501B">
        <w:rPr>
          <w:b/>
          <w:i/>
        </w:rPr>
        <w:t>Appendix</w:t>
      </w:r>
      <w:r w:rsidR="00CB7877" w:rsidRPr="004A501B">
        <w:rPr>
          <w:b/>
          <w:i/>
        </w:rPr>
        <w:t xml:space="preserve"> </w:t>
      </w:r>
      <w:r w:rsidR="00D50313">
        <w:rPr>
          <w:b/>
          <w:i/>
        </w:rPr>
        <w:t>A</w:t>
      </w:r>
      <w:r w:rsidRPr="004A501B">
        <w:t xml:space="preserve">.  </w:t>
      </w:r>
    </w:p>
    <w:p w14:paraId="6F5D144B" w14:textId="13CA6CDE" w:rsidR="00E16BAD" w:rsidRDefault="00FB2685" w:rsidP="002D5343">
      <w:r w:rsidRPr="004A501B">
        <w:t xml:space="preserve">The </w:t>
      </w:r>
      <w:r w:rsidR="00CD1133" w:rsidRPr="004A501B">
        <w:t xml:space="preserve">impact of the Capital Programme on the </w:t>
      </w:r>
      <w:r w:rsidRPr="004A501B">
        <w:t xml:space="preserve">balance sheet position and year on year changes are shown below. </w:t>
      </w:r>
    </w:p>
    <w:p w14:paraId="678C9BF7" w14:textId="155B7134" w:rsidR="005A4F24" w:rsidRPr="004A501B" w:rsidRDefault="00607EFC" w:rsidP="002D5343">
      <w:r w:rsidRPr="004A501B">
        <w:t xml:space="preserve">Table 1: </w:t>
      </w:r>
      <w:r w:rsidR="00144ABF" w:rsidRPr="004A501B">
        <w:t>Capital Expenditure and Financing in each year</w:t>
      </w:r>
    </w:p>
    <w:tbl>
      <w:tblPr>
        <w:tblStyle w:val="GridTable4-Accent1"/>
        <w:tblW w:w="0" w:type="auto"/>
        <w:tblInd w:w="-5" w:type="dxa"/>
        <w:tblLook w:val="04A0" w:firstRow="1" w:lastRow="0" w:firstColumn="1" w:lastColumn="0" w:noHBand="0" w:noVBand="1"/>
      </w:tblPr>
      <w:tblGrid>
        <w:gridCol w:w="2127"/>
        <w:gridCol w:w="939"/>
        <w:gridCol w:w="1050"/>
        <w:gridCol w:w="1130"/>
        <w:gridCol w:w="1134"/>
        <w:gridCol w:w="1134"/>
      </w:tblGrid>
      <w:tr w:rsidR="008C4190" w:rsidRPr="00FE36A8" w14:paraId="5C9A6FEE" w14:textId="77777777" w:rsidTr="000C5B7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7" w:type="dxa"/>
            <w:hideMark/>
          </w:tcPr>
          <w:p w14:paraId="4CD2DC94" w14:textId="77777777" w:rsidR="008C4190" w:rsidRPr="00140321" w:rsidRDefault="008C4190">
            <w:pPr>
              <w:rPr>
                <w:b w:val="0"/>
                <w:bCs w:val="0"/>
                <w:sz w:val="20"/>
                <w:szCs w:val="20"/>
              </w:rPr>
            </w:pPr>
            <w:r w:rsidRPr="00140321">
              <w:rPr>
                <w:sz w:val="20"/>
                <w:szCs w:val="20"/>
              </w:rPr>
              <w:t>Capital Expenditure and Financing</w:t>
            </w:r>
            <w:r w:rsidR="00FE36A8" w:rsidRPr="00140321">
              <w:rPr>
                <w:sz w:val="20"/>
                <w:szCs w:val="20"/>
              </w:rPr>
              <w:t xml:space="preserve"> </w:t>
            </w:r>
          </w:p>
          <w:p w14:paraId="54853291" w14:textId="2FE1F6D1" w:rsidR="00FE36A8" w:rsidRPr="00140321" w:rsidRDefault="00FE36A8">
            <w:pPr>
              <w:rPr>
                <w:sz w:val="20"/>
                <w:szCs w:val="20"/>
              </w:rPr>
            </w:pPr>
          </w:p>
        </w:tc>
        <w:tc>
          <w:tcPr>
            <w:tcW w:w="655" w:type="dxa"/>
          </w:tcPr>
          <w:p w14:paraId="6C1A94FC" w14:textId="3F316E83" w:rsidR="008C4190" w:rsidRPr="00140321" w:rsidRDefault="008C4190" w:rsidP="00FE36A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0321">
              <w:rPr>
                <w:sz w:val="20"/>
                <w:szCs w:val="20"/>
              </w:rPr>
              <w:t>202</w:t>
            </w:r>
            <w:r w:rsidR="00125026">
              <w:rPr>
                <w:sz w:val="20"/>
                <w:szCs w:val="20"/>
              </w:rPr>
              <w:t>1</w:t>
            </w:r>
            <w:r w:rsidRPr="00140321">
              <w:rPr>
                <w:sz w:val="20"/>
                <w:szCs w:val="20"/>
              </w:rPr>
              <w:t>/</w:t>
            </w:r>
            <w:r w:rsidR="00125026">
              <w:rPr>
                <w:sz w:val="20"/>
                <w:szCs w:val="20"/>
              </w:rPr>
              <w:t>22</w:t>
            </w:r>
            <w:r w:rsidRPr="00140321">
              <w:rPr>
                <w:sz w:val="20"/>
                <w:szCs w:val="20"/>
              </w:rPr>
              <w:t xml:space="preserve"> </w:t>
            </w:r>
            <w:r w:rsidR="00FE36A8" w:rsidRPr="00140321">
              <w:rPr>
                <w:sz w:val="20"/>
                <w:szCs w:val="20"/>
              </w:rPr>
              <w:t>Actual</w:t>
            </w:r>
          </w:p>
          <w:p w14:paraId="14F1D85E" w14:textId="718F03D7" w:rsidR="00FE36A8" w:rsidRPr="00140321" w:rsidRDefault="00FE36A8" w:rsidP="00FE36A8">
            <w:pPr>
              <w:cnfStyle w:val="100000000000" w:firstRow="1" w:lastRow="0" w:firstColumn="0" w:lastColumn="0" w:oddVBand="0" w:evenVBand="0" w:oddHBand="0" w:evenHBand="0" w:firstRowFirstColumn="0" w:firstRowLastColumn="0" w:lastRowFirstColumn="0" w:lastRowLastColumn="0"/>
              <w:rPr>
                <w:sz w:val="20"/>
                <w:szCs w:val="20"/>
              </w:rPr>
            </w:pPr>
            <w:r w:rsidRPr="00140321">
              <w:rPr>
                <w:sz w:val="20"/>
                <w:szCs w:val="20"/>
              </w:rPr>
              <w:t>£m</w:t>
            </w:r>
          </w:p>
        </w:tc>
        <w:tc>
          <w:tcPr>
            <w:tcW w:w="1050" w:type="dxa"/>
          </w:tcPr>
          <w:p w14:paraId="2D507045" w14:textId="471A8BCD" w:rsidR="008C4190" w:rsidRPr="00140321" w:rsidRDefault="008C4190" w:rsidP="00FE36A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0321">
              <w:rPr>
                <w:sz w:val="20"/>
                <w:szCs w:val="20"/>
              </w:rPr>
              <w:t>202</w:t>
            </w:r>
            <w:r w:rsidR="00125026">
              <w:rPr>
                <w:sz w:val="20"/>
                <w:szCs w:val="20"/>
              </w:rPr>
              <w:t>2</w:t>
            </w:r>
            <w:r w:rsidRPr="00140321">
              <w:rPr>
                <w:sz w:val="20"/>
                <w:szCs w:val="20"/>
              </w:rPr>
              <w:t>/2</w:t>
            </w:r>
            <w:r w:rsidR="00125026">
              <w:rPr>
                <w:sz w:val="20"/>
                <w:szCs w:val="20"/>
              </w:rPr>
              <w:t>3</w:t>
            </w:r>
            <w:r w:rsidRPr="00140321">
              <w:rPr>
                <w:sz w:val="20"/>
                <w:szCs w:val="20"/>
              </w:rPr>
              <w:t xml:space="preserve"> Estimate</w:t>
            </w:r>
          </w:p>
          <w:p w14:paraId="1D065303" w14:textId="6A9C9590" w:rsidR="00FE36A8" w:rsidRPr="00140321" w:rsidRDefault="00FE36A8" w:rsidP="00FE36A8">
            <w:pPr>
              <w:cnfStyle w:val="100000000000" w:firstRow="1" w:lastRow="0" w:firstColumn="0" w:lastColumn="0" w:oddVBand="0" w:evenVBand="0" w:oddHBand="0" w:evenHBand="0" w:firstRowFirstColumn="0" w:firstRowLastColumn="0" w:lastRowFirstColumn="0" w:lastRowLastColumn="0"/>
              <w:rPr>
                <w:sz w:val="20"/>
                <w:szCs w:val="20"/>
              </w:rPr>
            </w:pPr>
            <w:r w:rsidRPr="00140321">
              <w:rPr>
                <w:sz w:val="20"/>
                <w:szCs w:val="20"/>
              </w:rPr>
              <w:t>£m</w:t>
            </w:r>
          </w:p>
        </w:tc>
        <w:tc>
          <w:tcPr>
            <w:tcW w:w="1130" w:type="dxa"/>
          </w:tcPr>
          <w:p w14:paraId="10AEE7BF" w14:textId="79CD53CD" w:rsidR="008C4190" w:rsidRPr="00140321" w:rsidRDefault="008C4190" w:rsidP="00FE36A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0321">
              <w:rPr>
                <w:sz w:val="20"/>
                <w:szCs w:val="20"/>
              </w:rPr>
              <w:t>202</w:t>
            </w:r>
            <w:r w:rsidR="00125026">
              <w:rPr>
                <w:sz w:val="20"/>
                <w:szCs w:val="20"/>
              </w:rPr>
              <w:t>3</w:t>
            </w:r>
            <w:r w:rsidRPr="00140321">
              <w:rPr>
                <w:sz w:val="20"/>
                <w:szCs w:val="20"/>
              </w:rPr>
              <w:t>/2</w:t>
            </w:r>
            <w:r w:rsidR="00125026">
              <w:rPr>
                <w:sz w:val="20"/>
                <w:szCs w:val="20"/>
              </w:rPr>
              <w:t>4</w:t>
            </w:r>
            <w:r w:rsidRPr="00140321">
              <w:rPr>
                <w:sz w:val="20"/>
                <w:szCs w:val="20"/>
              </w:rPr>
              <w:t xml:space="preserve">           Estimate</w:t>
            </w:r>
          </w:p>
          <w:p w14:paraId="16AB4ACC" w14:textId="2EED50F1" w:rsidR="00FE36A8" w:rsidRPr="00140321" w:rsidRDefault="00FE36A8" w:rsidP="00FE36A8">
            <w:pPr>
              <w:cnfStyle w:val="100000000000" w:firstRow="1" w:lastRow="0" w:firstColumn="0" w:lastColumn="0" w:oddVBand="0" w:evenVBand="0" w:oddHBand="0" w:evenHBand="0" w:firstRowFirstColumn="0" w:firstRowLastColumn="0" w:lastRowFirstColumn="0" w:lastRowLastColumn="0"/>
              <w:rPr>
                <w:sz w:val="20"/>
                <w:szCs w:val="20"/>
              </w:rPr>
            </w:pPr>
            <w:r w:rsidRPr="00140321">
              <w:rPr>
                <w:sz w:val="20"/>
                <w:szCs w:val="20"/>
              </w:rPr>
              <w:t>£m</w:t>
            </w:r>
          </w:p>
        </w:tc>
        <w:tc>
          <w:tcPr>
            <w:tcW w:w="1134" w:type="dxa"/>
          </w:tcPr>
          <w:p w14:paraId="7916857C" w14:textId="4D83E10F" w:rsidR="008C4190" w:rsidRPr="00140321" w:rsidRDefault="008C4190" w:rsidP="00FE36A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0321">
              <w:rPr>
                <w:sz w:val="20"/>
                <w:szCs w:val="20"/>
              </w:rPr>
              <w:t>202</w:t>
            </w:r>
            <w:r w:rsidR="00125026">
              <w:rPr>
                <w:sz w:val="20"/>
                <w:szCs w:val="20"/>
              </w:rPr>
              <w:t>4</w:t>
            </w:r>
            <w:r w:rsidRPr="00140321">
              <w:rPr>
                <w:sz w:val="20"/>
                <w:szCs w:val="20"/>
              </w:rPr>
              <w:t>/2</w:t>
            </w:r>
            <w:r w:rsidR="00125026">
              <w:rPr>
                <w:sz w:val="20"/>
                <w:szCs w:val="20"/>
              </w:rPr>
              <w:t>5</w:t>
            </w:r>
            <w:r w:rsidRPr="00140321">
              <w:rPr>
                <w:sz w:val="20"/>
                <w:szCs w:val="20"/>
              </w:rPr>
              <w:t xml:space="preserve">           Estimate</w:t>
            </w:r>
          </w:p>
          <w:p w14:paraId="44612A22" w14:textId="1336BAE1" w:rsidR="00FE36A8" w:rsidRPr="00140321" w:rsidRDefault="00FE36A8" w:rsidP="00FE36A8">
            <w:pPr>
              <w:cnfStyle w:val="100000000000" w:firstRow="1" w:lastRow="0" w:firstColumn="0" w:lastColumn="0" w:oddVBand="0" w:evenVBand="0" w:oddHBand="0" w:evenHBand="0" w:firstRowFirstColumn="0" w:firstRowLastColumn="0" w:lastRowFirstColumn="0" w:lastRowLastColumn="0"/>
              <w:rPr>
                <w:sz w:val="20"/>
                <w:szCs w:val="20"/>
              </w:rPr>
            </w:pPr>
            <w:r w:rsidRPr="00140321">
              <w:rPr>
                <w:sz w:val="20"/>
                <w:szCs w:val="20"/>
              </w:rPr>
              <w:t>£m</w:t>
            </w:r>
          </w:p>
        </w:tc>
        <w:tc>
          <w:tcPr>
            <w:tcW w:w="1134" w:type="dxa"/>
          </w:tcPr>
          <w:p w14:paraId="24629E88" w14:textId="354126D3" w:rsidR="008C4190" w:rsidRPr="00140321" w:rsidRDefault="008C4190" w:rsidP="00FE36A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0321">
              <w:rPr>
                <w:sz w:val="20"/>
                <w:szCs w:val="20"/>
              </w:rPr>
              <w:t>202</w:t>
            </w:r>
            <w:r w:rsidR="00125026">
              <w:rPr>
                <w:sz w:val="20"/>
                <w:szCs w:val="20"/>
              </w:rPr>
              <w:t>5</w:t>
            </w:r>
            <w:r w:rsidRPr="00140321">
              <w:rPr>
                <w:sz w:val="20"/>
                <w:szCs w:val="20"/>
              </w:rPr>
              <w:t>/2</w:t>
            </w:r>
            <w:r w:rsidR="00125026">
              <w:rPr>
                <w:sz w:val="20"/>
                <w:szCs w:val="20"/>
              </w:rPr>
              <w:t>6</w:t>
            </w:r>
            <w:r w:rsidRPr="00140321">
              <w:rPr>
                <w:sz w:val="20"/>
                <w:szCs w:val="20"/>
              </w:rPr>
              <w:t xml:space="preserve"> Estimate</w:t>
            </w:r>
          </w:p>
          <w:p w14:paraId="5E9A32C4" w14:textId="674A7E73" w:rsidR="00FE36A8" w:rsidRPr="00140321" w:rsidRDefault="00FE36A8" w:rsidP="00FE36A8">
            <w:pPr>
              <w:cnfStyle w:val="100000000000" w:firstRow="1" w:lastRow="0" w:firstColumn="0" w:lastColumn="0" w:oddVBand="0" w:evenVBand="0" w:oddHBand="0" w:evenHBand="0" w:firstRowFirstColumn="0" w:firstRowLastColumn="0" w:lastRowFirstColumn="0" w:lastRowLastColumn="0"/>
              <w:rPr>
                <w:sz w:val="20"/>
                <w:szCs w:val="20"/>
              </w:rPr>
            </w:pPr>
            <w:r w:rsidRPr="00140321">
              <w:rPr>
                <w:sz w:val="20"/>
                <w:szCs w:val="20"/>
              </w:rPr>
              <w:t>£m</w:t>
            </w:r>
          </w:p>
        </w:tc>
      </w:tr>
      <w:tr w:rsidR="00FE36A8" w:rsidRPr="00FE36A8" w14:paraId="01EEEE44" w14:textId="77777777" w:rsidTr="000C5B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10F1BB92" w14:textId="7480B071" w:rsidR="00FE36A8" w:rsidRPr="00125026" w:rsidRDefault="00FE36A8" w:rsidP="003C36D7">
            <w:pPr>
              <w:spacing w:before="0" w:after="0"/>
              <w:rPr>
                <w:b w:val="0"/>
                <w:bCs w:val="0"/>
                <w:sz w:val="20"/>
                <w:szCs w:val="20"/>
              </w:rPr>
            </w:pPr>
            <w:r w:rsidRPr="00125026">
              <w:rPr>
                <w:b w:val="0"/>
                <w:bCs w:val="0"/>
                <w:sz w:val="20"/>
                <w:szCs w:val="20"/>
              </w:rPr>
              <w:t>Land &amp; Buildings</w:t>
            </w:r>
          </w:p>
        </w:tc>
        <w:tc>
          <w:tcPr>
            <w:tcW w:w="655" w:type="dxa"/>
            <w:vAlign w:val="center"/>
          </w:tcPr>
          <w:p w14:paraId="24B59AD2" w14:textId="21E979DE" w:rsidR="00FE36A8" w:rsidRPr="00AF7DA0" w:rsidRDefault="000B74B0"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AF7DA0">
              <w:rPr>
                <w:sz w:val="20"/>
                <w:szCs w:val="20"/>
              </w:rPr>
              <w:t>6.1</w:t>
            </w:r>
            <w:r w:rsidR="00AF7DA0" w:rsidRPr="00AF7DA0">
              <w:rPr>
                <w:sz w:val="20"/>
                <w:szCs w:val="20"/>
              </w:rPr>
              <w:t>80</w:t>
            </w:r>
          </w:p>
        </w:tc>
        <w:tc>
          <w:tcPr>
            <w:tcW w:w="1050" w:type="dxa"/>
          </w:tcPr>
          <w:p w14:paraId="66012867" w14:textId="27BDE3B2" w:rsidR="00FE36A8" w:rsidRPr="00125026" w:rsidRDefault="00125026"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125026">
              <w:rPr>
                <w:sz w:val="20"/>
                <w:szCs w:val="20"/>
              </w:rPr>
              <w:t>15.610</w:t>
            </w:r>
          </w:p>
        </w:tc>
        <w:tc>
          <w:tcPr>
            <w:tcW w:w="1130" w:type="dxa"/>
          </w:tcPr>
          <w:p w14:paraId="5577E782" w14:textId="168988AD" w:rsidR="00FE36A8" w:rsidRPr="00125026" w:rsidRDefault="00125026"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125026">
              <w:rPr>
                <w:sz w:val="20"/>
                <w:szCs w:val="20"/>
              </w:rPr>
              <w:t>11.199</w:t>
            </w:r>
          </w:p>
        </w:tc>
        <w:tc>
          <w:tcPr>
            <w:tcW w:w="1134" w:type="dxa"/>
          </w:tcPr>
          <w:p w14:paraId="73F95C3C" w14:textId="6647F9B1" w:rsidR="00FE36A8" w:rsidRPr="00125026" w:rsidRDefault="00125026"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125026">
              <w:rPr>
                <w:sz w:val="20"/>
                <w:szCs w:val="20"/>
              </w:rPr>
              <w:t>16.351</w:t>
            </w:r>
          </w:p>
        </w:tc>
        <w:tc>
          <w:tcPr>
            <w:tcW w:w="1134" w:type="dxa"/>
          </w:tcPr>
          <w:p w14:paraId="40546D39" w14:textId="76C1B815" w:rsidR="00FE36A8" w:rsidRPr="00125026" w:rsidRDefault="00125026"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125026">
              <w:rPr>
                <w:sz w:val="20"/>
                <w:szCs w:val="20"/>
              </w:rPr>
              <w:t>12.839</w:t>
            </w:r>
          </w:p>
        </w:tc>
      </w:tr>
      <w:tr w:rsidR="00FE36A8" w:rsidRPr="00FE36A8" w14:paraId="73BA7BA3" w14:textId="77777777" w:rsidTr="000C5B7B">
        <w:trPr>
          <w:trHeight w:val="454"/>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46374FEA" w14:textId="77777777" w:rsidR="00FE36A8" w:rsidRPr="00125026" w:rsidRDefault="00FE36A8" w:rsidP="003C36D7">
            <w:pPr>
              <w:spacing w:before="0" w:after="0"/>
              <w:rPr>
                <w:b w:val="0"/>
                <w:bCs w:val="0"/>
                <w:sz w:val="20"/>
                <w:szCs w:val="20"/>
              </w:rPr>
            </w:pPr>
            <w:r w:rsidRPr="00125026">
              <w:rPr>
                <w:b w:val="0"/>
                <w:bCs w:val="0"/>
                <w:sz w:val="20"/>
                <w:szCs w:val="20"/>
              </w:rPr>
              <w:t>Vehicles / Boat</w:t>
            </w:r>
          </w:p>
        </w:tc>
        <w:tc>
          <w:tcPr>
            <w:tcW w:w="655" w:type="dxa"/>
            <w:vAlign w:val="center"/>
          </w:tcPr>
          <w:p w14:paraId="53019A1A" w14:textId="36E23219" w:rsidR="00FE36A8" w:rsidRPr="00AF7DA0" w:rsidRDefault="000B74B0"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AF7DA0">
              <w:rPr>
                <w:sz w:val="20"/>
                <w:szCs w:val="20"/>
              </w:rPr>
              <w:t>1.50</w:t>
            </w:r>
            <w:r w:rsidR="00D80075" w:rsidRPr="00AF7DA0">
              <w:rPr>
                <w:sz w:val="20"/>
                <w:szCs w:val="20"/>
              </w:rPr>
              <w:t>1</w:t>
            </w:r>
          </w:p>
        </w:tc>
        <w:tc>
          <w:tcPr>
            <w:tcW w:w="1050" w:type="dxa"/>
          </w:tcPr>
          <w:p w14:paraId="7F81BCF8" w14:textId="58465C64" w:rsidR="00FE36A8" w:rsidRPr="00125026" w:rsidRDefault="00125026"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125026">
              <w:rPr>
                <w:sz w:val="20"/>
                <w:szCs w:val="20"/>
              </w:rPr>
              <w:t>1.918</w:t>
            </w:r>
          </w:p>
        </w:tc>
        <w:tc>
          <w:tcPr>
            <w:tcW w:w="1130" w:type="dxa"/>
          </w:tcPr>
          <w:p w14:paraId="2F3B7B05" w14:textId="19E8B669" w:rsidR="00FE36A8" w:rsidRPr="00125026" w:rsidRDefault="00125026"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125026">
              <w:rPr>
                <w:sz w:val="20"/>
                <w:szCs w:val="20"/>
              </w:rPr>
              <w:t>1.280</w:t>
            </w:r>
          </w:p>
        </w:tc>
        <w:tc>
          <w:tcPr>
            <w:tcW w:w="1134" w:type="dxa"/>
          </w:tcPr>
          <w:p w14:paraId="17EB2B49" w14:textId="11C9B40E" w:rsidR="00FE36A8" w:rsidRPr="00125026" w:rsidRDefault="00125026"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125026">
              <w:rPr>
                <w:sz w:val="20"/>
                <w:szCs w:val="20"/>
              </w:rPr>
              <w:t>2.014</w:t>
            </w:r>
          </w:p>
        </w:tc>
        <w:tc>
          <w:tcPr>
            <w:tcW w:w="1134" w:type="dxa"/>
          </w:tcPr>
          <w:p w14:paraId="33E85966" w14:textId="0EBCB711" w:rsidR="00FE36A8" w:rsidRPr="00125026" w:rsidRDefault="00125026"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125026">
              <w:rPr>
                <w:sz w:val="20"/>
                <w:szCs w:val="20"/>
              </w:rPr>
              <w:t>1.680</w:t>
            </w:r>
          </w:p>
        </w:tc>
      </w:tr>
      <w:tr w:rsidR="00FE36A8" w:rsidRPr="00FE36A8" w14:paraId="1A11DE3D" w14:textId="77777777" w:rsidTr="000C5B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54261765" w14:textId="07FDD30B" w:rsidR="00FE36A8" w:rsidRPr="00125026" w:rsidRDefault="00FE36A8" w:rsidP="003C36D7">
            <w:pPr>
              <w:spacing w:before="0" w:after="0"/>
              <w:rPr>
                <w:b w:val="0"/>
                <w:bCs w:val="0"/>
                <w:sz w:val="20"/>
                <w:szCs w:val="20"/>
              </w:rPr>
            </w:pPr>
            <w:r w:rsidRPr="00125026">
              <w:rPr>
                <w:b w:val="0"/>
                <w:bCs w:val="0"/>
                <w:sz w:val="20"/>
                <w:szCs w:val="20"/>
              </w:rPr>
              <w:t>ICT and Other Schemes</w:t>
            </w:r>
          </w:p>
        </w:tc>
        <w:tc>
          <w:tcPr>
            <w:tcW w:w="655" w:type="dxa"/>
            <w:vAlign w:val="center"/>
          </w:tcPr>
          <w:p w14:paraId="545C6F35" w14:textId="2A0AA21D" w:rsidR="00FE36A8" w:rsidRPr="00AF7DA0" w:rsidRDefault="000B74B0"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AF7DA0">
              <w:rPr>
                <w:sz w:val="20"/>
                <w:szCs w:val="20"/>
              </w:rPr>
              <w:t>1.458</w:t>
            </w:r>
          </w:p>
        </w:tc>
        <w:tc>
          <w:tcPr>
            <w:tcW w:w="1050" w:type="dxa"/>
          </w:tcPr>
          <w:p w14:paraId="79232535" w14:textId="74EDA379" w:rsidR="00FE36A8" w:rsidRPr="00125026" w:rsidRDefault="00125026"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125026">
              <w:rPr>
                <w:sz w:val="20"/>
                <w:szCs w:val="20"/>
              </w:rPr>
              <w:t>5.097</w:t>
            </w:r>
          </w:p>
        </w:tc>
        <w:tc>
          <w:tcPr>
            <w:tcW w:w="1130" w:type="dxa"/>
          </w:tcPr>
          <w:p w14:paraId="5457641B" w14:textId="5A045868" w:rsidR="00FE36A8" w:rsidRPr="00125026" w:rsidRDefault="00125026"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125026">
              <w:rPr>
                <w:sz w:val="20"/>
                <w:szCs w:val="20"/>
              </w:rPr>
              <w:t>5.754</w:t>
            </w:r>
          </w:p>
        </w:tc>
        <w:tc>
          <w:tcPr>
            <w:tcW w:w="1134" w:type="dxa"/>
          </w:tcPr>
          <w:p w14:paraId="37A83168" w14:textId="3C0B8D34" w:rsidR="00FE36A8" w:rsidRPr="00125026" w:rsidRDefault="00125026"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125026">
              <w:rPr>
                <w:sz w:val="20"/>
                <w:szCs w:val="20"/>
              </w:rPr>
              <w:t>3.260</w:t>
            </w:r>
          </w:p>
        </w:tc>
        <w:tc>
          <w:tcPr>
            <w:tcW w:w="1134" w:type="dxa"/>
          </w:tcPr>
          <w:p w14:paraId="4A7C3534" w14:textId="3848D589" w:rsidR="00FE36A8" w:rsidRPr="00125026" w:rsidRDefault="00125026"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125026">
              <w:rPr>
                <w:sz w:val="20"/>
                <w:szCs w:val="20"/>
              </w:rPr>
              <w:t>4.66</w:t>
            </w:r>
            <w:r w:rsidR="00D3449B">
              <w:rPr>
                <w:sz w:val="20"/>
                <w:szCs w:val="20"/>
              </w:rPr>
              <w:t>7</w:t>
            </w:r>
          </w:p>
        </w:tc>
      </w:tr>
      <w:tr w:rsidR="00FE36A8" w:rsidRPr="00FE36A8" w14:paraId="01AD2E84" w14:textId="77777777" w:rsidTr="000C5B7B">
        <w:trPr>
          <w:trHeight w:val="454"/>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3A87958A" w14:textId="77777777" w:rsidR="00FE36A8" w:rsidRPr="00125026" w:rsidRDefault="00FE36A8" w:rsidP="003C36D7">
            <w:pPr>
              <w:spacing w:before="0" w:after="0"/>
              <w:rPr>
                <w:sz w:val="20"/>
                <w:szCs w:val="20"/>
              </w:rPr>
            </w:pPr>
            <w:r w:rsidRPr="00125026">
              <w:rPr>
                <w:sz w:val="20"/>
                <w:szCs w:val="20"/>
              </w:rPr>
              <w:t>Total Expenditure</w:t>
            </w:r>
          </w:p>
        </w:tc>
        <w:tc>
          <w:tcPr>
            <w:tcW w:w="655" w:type="dxa"/>
            <w:vAlign w:val="center"/>
          </w:tcPr>
          <w:p w14:paraId="7E809EA1" w14:textId="7064C111" w:rsidR="00FE36A8" w:rsidRPr="00AF7DA0" w:rsidRDefault="000B74B0" w:rsidP="000D6381">
            <w:pPr>
              <w:spacing w:before="0" w:after="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AF7DA0">
              <w:rPr>
                <w:b/>
                <w:bCs/>
                <w:sz w:val="20"/>
                <w:szCs w:val="20"/>
              </w:rPr>
              <w:t>9.</w:t>
            </w:r>
            <w:r w:rsidR="00AF7DA0" w:rsidRPr="00AF7DA0">
              <w:rPr>
                <w:b/>
                <w:bCs/>
                <w:sz w:val="20"/>
                <w:szCs w:val="20"/>
              </w:rPr>
              <w:t>139</w:t>
            </w:r>
          </w:p>
        </w:tc>
        <w:tc>
          <w:tcPr>
            <w:tcW w:w="1050" w:type="dxa"/>
          </w:tcPr>
          <w:p w14:paraId="27527BFA" w14:textId="2DF32755" w:rsidR="00FE36A8" w:rsidRPr="00125026" w:rsidRDefault="00125026" w:rsidP="000D6381">
            <w:pPr>
              <w:spacing w:before="0" w:after="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125026">
              <w:rPr>
                <w:b/>
                <w:bCs/>
                <w:sz w:val="20"/>
                <w:szCs w:val="20"/>
              </w:rPr>
              <w:t>22.625</w:t>
            </w:r>
          </w:p>
        </w:tc>
        <w:tc>
          <w:tcPr>
            <w:tcW w:w="1130" w:type="dxa"/>
          </w:tcPr>
          <w:p w14:paraId="226AF878" w14:textId="773D8F9B" w:rsidR="00FE36A8" w:rsidRPr="00125026" w:rsidRDefault="00125026" w:rsidP="000D6381">
            <w:pPr>
              <w:spacing w:before="0" w:after="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125026">
              <w:rPr>
                <w:b/>
                <w:bCs/>
                <w:sz w:val="20"/>
                <w:szCs w:val="20"/>
              </w:rPr>
              <w:t>18.233</w:t>
            </w:r>
          </w:p>
        </w:tc>
        <w:tc>
          <w:tcPr>
            <w:tcW w:w="1134" w:type="dxa"/>
          </w:tcPr>
          <w:p w14:paraId="7CCAD47A" w14:textId="3BFFBD3B" w:rsidR="00FE36A8" w:rsidRPr="00FF48AB" w:rsidRDefault="00FE36A8"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125026">
              <w:rPr>
                <w:b/>
                <w:sz w:val="20"/>
                <w:szCs w:val="20"/>
              </w:rPr>
              <w:t>2</w:t>
            </w:r>
            <w:r w:rsidR="00125026" w:rsidRPr="00125026">
              <w:rPr>
                <w:b/>
                <w:sz w:val="20"/>
                <w:szCs w:val="20"/>
              </w:rPr>
              <w:t>1</w:t>
            </w:r>
            <w:r w:rsidRPr="00125026">
              <w:rPr>
                <w:b/>
                <w:sz w:val="20"/>
                <w:szCs w:val="20"/>
              </w:rPr>
              <w:t>.</w:t>
            </w:r>
            <w:r w:rsidR="00125026" w:rsidRPr="00125026">
              <w:rPr>
                <w:b/>
                <w:sz w:val="20"/>
                <w:szCs w:val="20"/>
              </w:rPr>
              <w:t>625</w:t>
            </w:r>
          </w:p>
        </w:tc>
        <w:tc>
          <w:tcPr>
            <w:tcW w:w="1134" w:type="dxa"/>
          </w:tcPr>
          <w:p w14:paraId="0C465811" w14:textId="49744ADD" w:rsidR="00FE36A8" w:rsidRPr="00125026" w:rsidRDefault="00125026" w:rsidP="000D6381">
            <w:pPr>
              <w:spacing w:before="0" w:after="0"/>
              <w:jc w:val="right"/>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125026">
              <w:rPr>
                <w:b/>
                <w:bCs/>
                <w:sz w:val="20"/>
                <w:szCs w:val="20"/>
              </w:rPr>
              <w:t>19.18</w:t>
            </w:r>
            <w:r w:rsidR="00D3449B">
              <w:rPr>
                <w:b/>
                <w:bCs/>
                <w:sz w:val="20"/>
                <w:szCs w:val="20"/>
              </w:rPr>
              <w:t>6</w:t>
            </w:r>
          </w:p>
        </w:tc>
      </w:tr>
      <w:tr w:rsidR="008C4190" w:rsidRPr="00FE36A8" w14:paraId="313F04A4" w14:textId="77777777" w:rsidTr="000C5B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14:paraId="6BDE231D" w14:textId="77777777" w:rsidR="008C4190" w:rsidRPr="00125026" w:rsidRDefault="008C4190" w:rsidP="003C36D7">
            <w:pPr>
              <w:spacing w:before="0" w:after="0"/>
              <w:rPr>
                <w:sz w:val="20"/>
                <w:szCs w:val="20"/>
              </w:rPr>
            </w:pPr>
          </w:p>
        </w:tc>
        <w:tc>
          <w:tcPr>
            <w:tcW w:w="655" w:type="dxa"/>
            <w:vAlign w:val="center"/>
          </w:tcPr>
          <w:p w14:paraId="43F61356" w14:textId="77777777" w:rsidR="008C4190" w:rsidRPr="00D004FB" w:rsidRDefault="008C4190"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1050" w:type="dxa"/>
            <w:vAlign w:val="center"/>
          </w:tcPr>
          <w:p w14:paraId="5250A820" w14:textId="77777777" w:rsidR="008C4190" w:rsidRPr="00FF48AB" w:rsidRDefault="008C4190"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1130" w:type="dxa"/>
            <w:vAlign w:val="center"/>
          </w:tcPr>
          <w:p w14:paraId="7B4EC450" w14:textId="77777777" w:rsidR="008C4190" w:rsidRPr="00FF48AB" w:rsidRDefault="008C4190"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1134" w:type="dxa"/>
            <w:vAlign w:val="center"/>
          </w:tcPr>
          <w:p w14:paraId="17CE3876" w14:textId="77777777" w:rsidR="008C4190" w:rsidRPr="00FF48AB" w:rsidRDefault="008C4190"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1134" w:type="dxa"/>
          </w:tcPr>
          <w:p w14:paraId="5D58C308" w14:textId="77777777" w:rsidR="008C4190" w:rsidRPr="00FF48AB" w:rsidRDefault="008C4190"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73359F" w:rsidRPr="00FE36A8" w14:paraId="20F9D2AE" w14:textId="77777777" w:rsidTr="000C5B7B">
        <w:trPr>
          <w:trHeight w:val="454"/>
        </w:trPr>
        <w:tc>
          <w:tcPr>
            <w:cnfStyle w:val="001000000000" w:firstRow="0" w:lastRow="0" w:firstColumn="1" w:lastColumn="0" w:oddVBand="0" w:evenVBand="0" w:oddHBand="0" w:evenHBand="0" w:firstRowFirstColumn="0" w:firstRowLastColumn="0" w:lastRowFirstColumn="0" w:lastRowLastColumn="0"/>
            <w:tcW w:w="2127" w:type="dxa"/>
            <w:shd w:val="clear" w:color="auto" w:fill="FBD4B4" w:themeFill="accent6" w:themeFillTint="66"/>
            <w:noWrap/>
            <w:vAlign w:val="center"/>
            <w:hideMark/>
          </w:tcPr>
          <w:p w14:paraId="0C7638CC" w14:textId="77777777" w:rsidR="0073359F" w:rsidRPr="00125026" w:rsidRDefault="0073359F" w:rsidP="003C36D7">
            <w:pPr>
              <w:spacing w:before="0" w:after="0"/>
              <w:rPr>
                <w:sz w:val="20"/>
                <w:szCs w:val="20"/>
              </w:rPr>
            </w:pPr>
            <w:r w:rsidRPr="00125026">
              <w:rPr>
                <w:sz w:val="20"/>
                <w:szCs w:val="20"/>
              </w:rPr>
              <w:t>Borrowing Requirement</w:t>
            </w:r>
          </w:p>
        </w:tc>
        <w:tc>
          <w:tcPr>
            <w:tcW w:w="655" w:type="dxa"/>
            <w:shd w:val="clear" w:color="auto" w:fill="FBD4B4" w:themeFill="accent6" w:themeFillTint="66"/>
          </w:tcPr>
          <w:p w14:paraId="2E6D95CB" w14:textId="0019C4D8" w:rsidR="0073359F" w:rsidRPr="00D004FB" w:rsidRDefault="00C74D78"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D004FB">
              <w:rPr>
                <w:sz w:val="20"/>
                <w:szCs w:val="20"/>
              </w:rPr>
              <w:t>5.</w:t>
            </w:r>
            <w:r w:rsidR="00AF7DA0">
              <w:rPr>
                <w:sz w:val="20"/>
                <w:szCs w:val="20"/>
              </w:rPr>
              <w:t>234</w:t>
            </w:r>
          </w:p>
        </w:tc>
        <w:tc>
          <w:tcPr>
            <w:tcW w:w="1050" w:type="dxa"/>
            <w:shd w:val="clear" w:color="auto" w:fill="FBD4B4" w:themeFill="accent6" w:themeFillTint="66"/>
          </w:tcPr>
          <w:p w14:paraId="3D18629D" w14:textId="096B7196" w:rsidR="0073359F" w:rsidRPr="0037032D" w:rsidRDefault="0037032D"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37032D">
              <w:rPr>
                <w:sz w:val="20"/>
                <w:szCs w:val="20"/>
              </w:rPr>
              <w:t>15.610</w:t>
            </w:r>
          </w:p>
        </w:tc>
        <w:tc>
          <w:tcPr>
            <w:tcW w:w="1130" w:type="dxa"/>
            <w:shd w:val="clear" w:color="auto" w:fill="FBD4B4" w:themeFill="accent6" w:themeFillTint="66"/>
          </w:tcPr>
          <w:p w14:paraId="6B8C0104" w14:textId="49FFD517" w:rsidR="0073359F" w:rsidRPr="0037032D" w:rsidRDefault="0037032D"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37032D">
              <w:rPr>
                <w:sz w:val="20"/>
                <w:szCs w:val="20"/>
              </w:rPr>
              <w:t>11.199</w:t>
            </w:r>
          </w:p>
        </w:tc>
        <w:tc>
          <w:tcPr>
            <w:tcW w:w="1134" w:type="dxa"/>
            <w:shd w:val="clear" w:color="auto" w:fill="FBD4B4" w:themeFill="accent6" w:themeFillTint="66"/>
          </w:tcPr>
          <w:p w14:paraId="750FEA70" w14:textId="68C529DE" w:rsidR="0073359F" w:rsidRPr="0037032D" w:rsidRDefault="0037032D"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37032D">
              <w:rPr>
                <w:sz w:val="20"/>
                <w:szCs w:val="20"/>
              </w:rPr>
              <w:t>17.962</w:t>
            </w:r>
          </w:p>
        </w:tc>
        <w:tc>
          <w:tcPr>
            <w:tcW w:w="1134" w:type="dxa"/>
            <w:shd w:val="clear" w:color="auto" w:fill="FBD4B4" w:themeFill="accent6" w:themeFillTint="66"/>
          </w:tcPr>
          <w:p w14:paraId="7EA1D1C8" w14:textId="098EBCFE" w:rsidR="0073359F" w:rsidRPr="0037032D" w:rsidRDefault="0037032D"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37032D">
              <w:rPr>
                <w:bCs/>
                <w:sz w:val="20"/>
                <w:szCs w:val="20"/>
              </w:rPr>
              <w:t>15.354</w:t>
            </w:r>
          </w:p>
        </w:tc>
      </w:tr>
      <w:tr w:rsidR="0073359F" w:rsidRPr="00FE36A8" w14:paraId="41C6C04B" w14:textId="77777777" w:rsidTr="000C5B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14:paraId="2B141BC7" w14:textId="77777777" w:rsidR="0073359F" w:rsidRPr="00125026" w:rsidRDefault="0073359F" w:rsidP="003C36D7">
            <w:pPr>
              <w:spacing w:before="0" w:after="0"/>
              <w:rPr>
                <w:b w:val="0"/>
                <w:bCs w:val="0"/>
                <w:sz w:val="20"/>
                <w:szCs w:val="20"/>
              </w:rPr>
            </w:pPr>
            <w:r w:rsidRPr="00125026">
              <w:rPr>
                <w:b w:val="0"/>
                <w:bCs w:val="0"/>
                <w:sz w:val="20"/>
                <w:szCs w:val="20"/>
              </w:rPr>
              <w:t>Capital Grants</w:t>
            </w:r>
          </w:p>
        </w:tc>
        <w:tc>
          <w:tcPr>
            <w:tcW w:w="655" w:type="dxa"/>
          </w:tcPr>
          <w:p w14:paraId="3D7A6E78" w14:textId="12503490" w:rsidR="0073359F" w:rsidRPr="00D004FB" w:rsidRDefault="00C74D78"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D004FB">
              <w:rPr>
                <w:sz w:val="20"/>
                <w:szCs w:val="20"/>
              </w:rPr>
              <w:t>1.346</w:t>
            </w:r>
          </w:p>
        </w:tc>
        <w:tc>
          <w:tcPr>
            <w:tcW w:w="1050" w:type="dxa"/>
          </w:tcPr>
          <w:p w14:paraId="1CECCEE2" w14:textId="5B3C9CCF" w:rsidR="0073359F" w:rsidRPr="00D930AE" w:rsidRDefault="00D930AE"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D930AE">
              <w:rPr>
                <w:sz w:val="20"/>
                <w:szCs w:val="20"/>
              </w:rPr>
              <w:t>0.203</w:t>
            </w:r>
          </w:p>
        </w:tc>
        <w:tc>
          <w:tcPr>
            <w:tcW w:w="1130" w:type="dxa"/>
          </w:tcPr>
          <w:p w14:paraId="43C96D0C" w14:textId="43153324" w:rsidR="0073359F" w:rsidRPr="00D930AE" w:rsidRDefault="00D930AE"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D930AE">
              <w:rPr>
                <w:sz w:val="20"/>
                <w:szCs w:val="20"/>
              </w:rPr>
              <w:t>0.050</w:t>
            </w:r>
          </w:p>
        </w:tc>
        <w:tc>
          <w:tcPr>
            <w:tcW w:w="1134" w:type="dxa"/>
          </w:tcPr>
          <w:p w14:paraId="21694100" w14:textId="0726AD75" w:rsidR="0073359F" w:rsidRPr="00D930AE" w:rsidRDefault="00D930AE"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D930AE">
              <w:rPr>
                <w:sz w:val="20"/>
                <w:szCs w:val="20"/>
              </w:rPr>
              <w:t>0.050</w:t>
            </w:r>
          </w:p>
        </w:tc>
        <w:tc>
          <w:tcPr>
            <w:tcW w:w="1134" w:type="dxa"/>
          </w:tcPr>
          <w:p w14:paraId="5DEF5618" w14:textId="29869967" w:rsidR="0073359F" w:rsidRPr="00D930AE" w:rsidRDefault="00D930AE"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D930AE">
              <w:rPr>
                <w:sz w:val="20"/>
                <w:szCs w:val="20"/>
              </w:rPr>
              <w:t>0.070</w:t>
            </w:r>
          </w:p>
        </w:tc>
      </w:tr>
      <w:tr w:rsidR="0073359F" w:rsidRPr="00FE36A8" w14:paraId="4279F00F" w14:textId="77777777" w:rsidTr="000C5B7B">
        <w:trPr>
          <w:trHeight w:val="454"/>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00CBD478" w14:textId="1BD3AA61" w:rsidR="0073359F" w:rsidRPr="00125026" w:rsidRDefault="0073359F" w:rsidP="003C36D7">
            <w:pPr>
              <w:spacing w:before="0" w:after="0"/>
              <w:rPr>
                <w:b w:val="0"/>
                <w:bCs w:val="0"/>
                <w:sz w:val="20"/>
                <w:szCs w:val="20"/>
              </w:rPr>
            </w:pPr>
            <w:r w:rsidRPr="00125026">
              <w:rPr>
                <w:b w:val="0"/>
                <w:bCs w:val="0"/>
                <w:sz w:val="20"/>
                <w:szCs w:val="20"/>
              </w:rPr>
              <w:t>Contribution from Revenue</w:t>
            </w:r>
          </w:p>
        </w:tc>
        <w:tc>
          <w:tcPr>
            <w:tcW w:w="655" w:type="dxa"/>
          </w:tcPr>
          <w:p w14:paraId="26A29D31" w14:textId="017702A5" w:rsidR="0073359F" w:rsidRPr="00D004FB" w:rsidRDefault="00C74D78"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D004FB">
              <w:rPr>
                <w:sz w:val="20"/>
                <w:szCs w:val="20"/>
              </w:rPr>
              <w:t>2</w:t>
            </w:r>
            <w:r w:rsidR="0073359F" w:rsidRPr="00D004FB">
              <w:rPr>
                <w:sz w:val="20"/>
                <w:szCs w:val="20"/>
              </w:rPr>
              <w:t>.</w:t>
            </w:r>
            <w:r w:rsidRPr="00D004FB">
              <w:rPr>
                <w:sz w:val="20"/>
                <w:szCs w:val="20"/>
              </w:rPr>
              <w:t>522</w:t>
            </w:r>
          </w:p>
        </w:tc>
        <w:tc>
          <w:tcPr>
            <w:tcW w:w="1050" w:type="dxa"/>
          </w:tcPr>
          <w:p w14:paraId="477530FA" w14:textId="18E8F725" w:rsidR="0073359F" w:rsidRPr="00D930AE" w:rsidRDefault="0073359F"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D930AE">
              <w:rPr>
                <w:sz w:val="20"/>
                <w:szCs w:val="20"/>
              </w:rPr>
              <w:t>2.</w:t>
            </w:r>
            <w:r w:rsidR="00D930AE" w:rsidRPr="00D930AE">
              <w:rPr>
                <w:sz w:val="20"/>
                <w:szCs w:val="20"/>
              </w:rPr>
              <w:t>948</w:t>
            </w:r>
          </w:p>
        </w:tc>
        <w:tc>
          <w:tcPr>
            <w:tcW w:w="1130" w:type="dxa"/>
          </w:tcPr>
          <w:p w14:paraId="75E4B36E" w14:textId="02EFECFA" w:rsidR="0073359F" w:rsidRPr="00D930AE" w:rsidRDefault="0073359F"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D930AE">
              <w:rPr>
                <w:sz w:val="20"/>
                <w:szCs w:val="20"/>
              </w:rPr>
              <w:t>2.</w:t>
            </w:r>
            <w:r w:rsidR="00D930AE" w:rsidRPr="00D930AE">
              <w:rPr>
                <w:sz w:val="20"/>
                <w:szCs w:val="20"/>
              </w:rPr>
              <w:t>306</w:t>
            </w:r>
          </w:p>
        </w:tc>
        <w:tc>
          <w:tcPr>
            <w:tcW w:w="1134" w:type="dxa"/>
          </w:tcPr>
          <w:p w14:paraId="61C48BEE" w14:textId="6B83CEB6" w:rsidR="0073359F" w:rsidRPr="00D930AE" w:rsidRDefault="0073359F"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D930AE">
              <w:rPr>
                <w:sz w:val="20"/>
                <w:szCs w:val="20"/>
              </w:rPr>
              <w:t>2.</w:t>
            </w:r>
            <w:r w:rsidR="00D930AE" w:rsidRPr="00D930AE">
              <w:rPr>
                <w:sz w:val="20"/>
                <w:szCs w:val="20"/>
              </w:rPr>
              <w:t>675</w:t>
            </w:r>
          </w:p>
        </w:tc>
        <w:tc>
          <w:tcPr>
            <w:tcW w:w="1134" w:type="dxa"/>
          </w:tcPr>
          <w:p w14:paraId="4C3904CC" w14:textId="4158AB15" w:rsidR="0073359F" w:rsidRPr="00D930AE" w:rsidRDefault="0073359F"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D930AE">
              <w:rPr>
                <w:sz w:val="20"/>
                <w:szCs w:val="20"/>
              </w:rPr>
              <w:t>3.</w:t>
            </w:r>
            <w:r w:rsidR="00D930AE" w:rsidRPr="00D930AE">
              <w:rPr>
                <w:sz w:val="20"/>
                <w:szCs w:val="20"/>
              </w:rPr>
              <w:t>711</w:t>
            </w:r>
          </w:p>
        </w:tc>
      </w:tr>
      <w:tr w:rsidR="0073359F" w:rsidRPr="00FE36A8" w14:paraId="45FA6088" w14:textId="77777777" w:rsidTr="000C5B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56C67A26" w14:textId="77777777" w:rsidR="0073359F" w:rsidRPr="00125026" w:rsidRDefault="0073359F" w:rsidP="003C36D7">
            <w:pPr>
              <w:spacing w:before="0" w:after="0"/>
              <w:rPr>
                <w:b w:val="0"/>
                <w:bCs w:val="0"/>
                <w:sz w:val="20"/>
                <w:szCs w:val="20"/>
              </w:rPr>
            </w:pPr>
            <w:r w:rsidRPr="00125026">
              <w:rPr>
                <w:b w:val="0"/>
                <w:bCs w:val="0"/>
                <w:sz w:val="20"/>
                <w:szCs w:val="20"/>
              </w:rPr>
              <w:t>Capital Receipts</w:t>
            </w:r>
          </w:p>
        </w:tc>
        <w:tc>
          <w:tcPr>
            <w:tcW w:w="655" w:type="dxa"/>
          </w:tcPr>
          <w:p w14:paraId="1748F373" w14:textId="16EBE6D3" w:rsidR="0073359F" w:rsidRPr="00D004FB" w:rsidRDefault="0073359F"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D004FB">
              <w:rPr>
                <w:sz w:val="20"/>
                <w:szCs w:val="20"/>
              </w:rPr>
              <w:t>0.0</w:t>
            </w:r>
            <w:r w:rsidR="00C74D78" w:rsidRPr="00D004FB">
              <w:rPr>
                <w:sz w:val="20"/>
                <w:szCs w:val="20"/>
              </w:rPr>
              <w:t>37</w:t>
            </w:r>
          </w:p>
        </w:tc>
        <w:tc>
          <w:tcPr>
            <w:tcW w:w="1050" w:type="dxa"/>
          </w:tcPr>
          <w:p w14:paraId="64B04EFA" w14:textId="7F6BA966" w:rsidR="0073359F" w:rsidRPr="00D930AE" w:rsidRDefault="00D930AE"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D930AE">
              <w:rPr>
                <w:sz w:val="20"/>
                <w:szCs w:val="20"/>
              </w:rPr>
              <w:t>0.050</w:t>
            </w:r>
          </w:p>
        </w:tc>
        <w:tc>
          <w:tcPr>
            <w:tcW w:w="1130" w:type="dxa"/>
          </w:tcPr>
          <w:p w14:paraId="5AD2C29B" w14:textId="5662BDF5" w:rsidR="0073359F" w:rsidRPr="00D930AE" w:rsidRDefault="0073359F"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D930AE">
              <w:rPr>
                <w:sz w:val="20"/>
                <w:szCs w:val="20"/>
              </w:rPr>
              <w:t>0.</w:t>
            </w:r>
            <w:r w:rsidR="00D930AE" w:rsidRPr="00D930AE">
              <w:rPr>
                <w:sz w:val="20"/>
                <w:szCs w:val="20"/>
              </w:rPr>
              <w:t>400</w:t>
            </w:r>
          </w:p>
        </w:tc>
        <w:tc>
          <w:tcPr>
            <w:tcW w:w="1134" w:type="dxa"/>
          </w:tcPr>
          <w:p w14:paraId="6280A2D3" w14:textId="1497F9E4" w:rsidR="0073359F" w:rsidRPr="00D930AE" w:rsidRDefault="0073359F"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D930AE">
              <w:rPr>
                <w:sz w:val="20"/>
                <w:szCs w:val="20"/>
              </w:rPr>
              <w:t>0.</w:t>
            </w:r>
            <w:r w:rsidR="00D930AE" w:rsidRPr="00D930AE">
              <w:rPr>
                <w:sz w:val="20"/>
                <w:szCs w:val="20"/>
              </w:rPr>
              <w:t>5</w:t>
            </w:r>
            <w:r w:rsidRPr="00D930AE">
              <w:rPr>
                <w:sz w:val="20"/>
                <w:szCs w:val="20"/>
              </w:rPr>
              <w:t>00</w:t>
            </w:r>
          </w:p>
        </w:tc>
        <w:tc>
          <w:tcPr>
            <w:tcW w:w="1134" w:type="dxa"/>
          </w:tcPr>
          <w:p w14:paraId="7BF375C7" w14:textId="3F98586F" w:rsidR="0073359F" w:rsidRPr="00D930AE" w:rsidRDefault="0073359F" w:rsidP="000D6381">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D930AE">
              <w:rPr>
                <w:sz w:val="20"/>
                <w:szCs w:val="20"/>
              </w:rPr>
              <w:t>0.</w:t>
            </w:r>
            <w:r w:rsidR="00D930AE" w:rsidRPr="00D930AE">
              <w:rPr>
                <w:sz w:val="20"/>
                <w:szCs w:val="20"/>
              </w:rPr>
              <w:t>05</w:t>
            </w:r>
            <w:r w:rsidRPr="00D930AE">
              <w:rPr>
                <w:sz w:val="20"/>
                <w:szCs w:val="20"/>
              </w:rPr>
              <w:t>0</w:t>
            </w:r>
          </w:p>
        </w:tc>
      </w:tr>
      <w:tr w:rsidR="0073359F" w:rsidRPr="00FE36A8" w14:paraId="6D798099" w14:textId="77777777" w:rsidTr="000C5B7B">
        <w:trPr>
          <w:trHeight w:val="454"/>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14:paraId="31562A62" w14:textId="21AC645F" w:rsidR="0073359F" w:rsidRPr="00125026" w:rsidRDefault="0073359F" w:rsidP="003C36D7">
            <w:pPr>
              <w:spacing w:before="0" w:after="0"/>
              <w:rPr>
                <w:b w:val="0"/>
                <w:bCs w:val="0"/>
                <w:sz w:val="20"/>
                <w:szCs w:val="20"/>
              </w:rPr>
            </w:pPr>
            <w:r w:rsidRPr="00125026">
              <w:rPr>
                <w:b w:val="0"/>
                <w:bCs w:val="0"/>
                <w:sz w:val="20"/>
                <w:szCs w:val="20"/>
              </w:rPr>
              <w:t xml:space="preserve">Capital </w:t>
            </w:r>
            <w:r w:rsidR="00D930AE">
              <w:rPr>
                <w:b w:val="0"/>
                <w:bCs w:val="0"/>
                <w:sz w:val="20"/>
                <w:szCs w:val="20"/>
              </w:rPr>
              <w:t xml:space="preserve">&amp; Sustainability </w:t>
            </w:r>
            <w:r w:rsidRPr="00125026">
              <w:rPr>
                <w:b w:val="0"/>
                <w:bCs w:val="0"/>
                <w:sz w:val="20"/>
                <w:szCs w:val="20"/>
              </w:rPr>
              <w:t>Reserve</w:t>
            </w:r>
          </w:p>
        </w:tc>
        <w:tc>
          <w:tcPr>
            <w:tcW w:w="655" w:type="dxa"/>
          </w:tcPr>
          <w:p w14:paraId="51A4B76F" w14:textId="42A121D9" w:rsidR="0073359F" w:rsidRPr="00D004FB" w:rsidRDefault="00C74D78"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D004FB">
              <w:rPr>
                <w:sz w:val="20"/>
                <w:szCs w:val="20"/>
              </w:rPr>
              <w:t>-</w:t>
            </w:r>
          </w:p>
        </w:tc>
        <w:tc>
          <w:tcPr>
            <w:tcW w:w="1050" w:type="dxa"/>
          </w:tcPr>
          <w:p w14:paraId="371E0241" w14:textId="0BBE3E62" w:rsidR="0073359F" w:rsidRPr="00D930AE" w:rsidRDefault="00D930AE"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D930AE">
              <w:rPr>
                <w:sz w:val="20"/>
                <w:szCs w:val="20"/>
              </w:rPr>
              <w:t>3.</w:t>
            </w:r>
            <w:r>
              <w:rPr>
                <w:sz w:val="20"/>
                <w:szCs w:val="20"/>
              </w:rPr>
              <w:t>814</w:t>
            </w:r>
          </w:p>
        </w:tc>
        <w:tc>
          <w:tcPr>
            <w:tcW w:w="1130" w:type="dxa"/>
          </w:tcPr>
          <w:p w14:paraId="154944CB" w14:textId="02D97B9D" w:rsidR="0073359F" w:rsidRPr="00D930AE" w:rsidRDefault="00D930AE"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4.27</w:t>
            </w:r>
            <w:r w:rsidR="0037032D">
              <w:rPr>
                <w:sz w:val="20"/>
                <w:szCs w:val="20"/>
              </w:rPr>
              <w:t>8</w:t>
            </w:r>
          </w:p>
        </w:tc>
        <w:tc>
          <w:tcPr>
            <w:tcW w:w="1134" w:type="dxa"/>
          </w:tcPr>
          <w:p w14:paraId="36E0D6AB" w14:textId="53CCED87" w:rsidR="0073359F" w:rsidRPr="00D930AE" w:rsidRDefault="00D930AE"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D930AE">
              <w:rPr>
                <w:sz w:val="20"/>
                <w:szCs w:val="20"/>
              </w:rPr>
              <w:t>0.438</w:t>
            </w:r>
          </w:p>
        </w:tc>
        <w:tc>
          <w:tcPr>
            <w:tcW w:w="1134" w:type="dxa"/>
          </w:tcPr>
          <w:p w14:paraId="6A983D6D" w14:textId="6982F7BC" w:rsidR="0073359F" w:rsidRPr="00D930AE" w:rsidRDefault="00D930AE" w:rsidP="000D6381">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D930AE">
              <w:rPr>
                <w:sz w:val="20"/>
                <w:szCs w:val="20"/>
              </w:rPr>
              <w:t>0.001</w:t>
            </w:r>
          </w:p>
        </w:tc>
      </w:tr>
      <w:tr w:rsidR="008C4190" w:rsidRPr="00D3449B" w14:paraId="2F6633AC" w14:textId="77777777" w:rsidTr="000C5B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69474D0A" w14:textId="77777777" w:rsidR="008C4190" w:rsidRPr="00125026" w:rsidRDefault="008C4190" w:rsidP="003C36D7">
            <w:pPr>
              <w:spacing w:before="0" w:after="0"/>
              <w:rPr>
                <w:sz w:val="20"/>
                <w:szCs w:val="20"/>
              </w:rPr>
            </w:pPr>
            <w:r w:rsidRPr="00125026">
              <w:rPr>
                <w:sz w:val="20"/>
                <w:szCs w:val="20"/>
              </w:rPr>
              <w:t>Total Financing</w:t>
            </w:r>
          </w:p>
        </w:tc>
        <w:tc>
          <w:tcPr>
            <w:tcW w:w="655" w:type="dxa"/>
            <w:vAlign w:val="center"/>
          </w:tcPr>
          <w:p w14:paraId="6F63625B" w14:textId="2FBD857D" w:rsidR="008C4190" w:rsidRPr="00AF7DA0" w:rsidRDefault="000B74B0" w:rsidP="000D6381">
            <w:pPr>
              <w:spacing w:before="0" w:after="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F7DA0">
              <w:rPr>
                <w:b/>
                <w:bCs/>
                <w:sz w:val="20"/>
                <w:szCs w:val="20"/>
              </w:rPr>
              <w:t>9.</w:t>
            </w:r>
            <w:r w:rsidR="00AF7DA0" w:rsidRPr="00AF7DA0">
              <w:rPr>
                <w:b/>
                <w:bCs/>
                <w:sz w:val="20"/>
                <w:szCs w:val="20"/>
              </w:rPr>
              <w:t>139</w:t>
            </w:r>
          </w:p>
        </w:tc>
        <w:tc>
          <w:tcPr>
            <w:tcW w:w="1050" w:type="dxa"/>
            <w:vAlign w:val="center"/>
          </w:tcPr>
          <w:p w14:paraId="52C12236" w14:textId="70837A63" w:rsidR="008C4190" w:rsidRPr="00AF7DA0" w:rsidRDefault="0037032D" w:rsidP="000D6381">
            <w:pPr>
              <w:spacing w:before="0" w:after="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AF7DA0">
              <w:rPr>
                <w:b/>
                <w:bCs/>
                <w:sz w:val="20"/>
                <w:szCs w:val="20"/>
              </w:rPr>
              <w:t>22.625</w:t>
            </w:r>
          </w:p>
        </w:tc>
        <w:tc>
          <w:tcPr>
            <w:tcW w:w="1130" w:type="dxa"/>
            <w:vAlign w:val="center"/>
          </w:tcPr>
          <w:p w14:paraId="564A53D9" w14:textId="05A110FE" w:rsidR="008C4190" w:rsidRPr="0037032D" w:rsidRDefault="0037032D" w:rsidP="000D6381">
            <w:pPr>
              <w:spacing w:before="0" w:after="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37032D">
              <w:rPr>
                <w:b/>
                <w:bCs/>
                <w:sz w:val="20"/>
                <w:szCs w:val="20"/>
              </w:rPr>
              <w:t>18.233</w:t>
            </w:r>
          </w:p>
        </w:tc>
        <w:tc>
          <w:tcPr>
            <w:tcW w:w="1134" w:type="dxa"/>
            <w:vAlign w:val="center"/>
          </w:tcPr>
          <w:p w14:paraId="7C7F8AB0" w14:textId="160BF007" w:rsidR="008C4190" w:rsidRPr="00FF48AB" w:rsidRDefault="0037032D" w:rsidP="000D6381">
            <w:pPr>
              <w:spacing w:before="0" w:after="0"/>
              <w:jc w:val="right"/>
              <w:cnfStyle w:val="000000100000" w:firstRow="0" w:lastRow="0" w:firstColumn="0" w:lastColumn="0" w:oddVBand="0" w:evenVBand="0" w:oddHBand="1" w:evenHBand="0" w:firstRowFirstColumn="0" w:firstRowLastColumn="0" w:lastRowFirstColumn="0" w:lastRowLastColumn="0"/>
              <w:rPr>
                <w:b/>
                <w:bCs/>
                <w:sz w:val="20"/>
                <w:szCs w:val="20"/>
                <w:highlight w:val="yellow"/>
              </w:rPr>
            </w:pPr>
            <w:r w:rsidRPr="0037032D">
              <w:rPr>
                <w:b/>
                <w:bCs/>
                <w:sz w:val="20"/>
                <w:szCs w:val="20"/>
              </w:rPr>
              <w:t>21.625</w:t>
            </w:r>
          </w:p>
        </w:tc>
        <w:tc>
          <w:tcPr>
            <w:tcW w:w="1134" w:type="dxa"/>
            <w:vAlign w:val="center"/>
          </w:tcPr>
          <w:p w14:paraId="43F8807E" w14:textId="5EDEDE59" w:rsidR="008C4190" w:rsidRPr="00D3449B" w:rsidRDefault="0073359F" w:rsidP="000D6381">
            <w:pPr>
              <w:spacing w:before="0" w:after="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D3449B">
              <w:rPr>
                <w:b/>
                <w:bCs/>
                <w:sz w:val="20"/>
                <w:szCs w:val="20"/>
              </w:rPr>
              <w:t>1</w:t>
            </w:r>
            <w:r w:rsidR="00D3449B" w:rsidRPr="00D3449B">
              <w:rPr>
                <w:b/>
                <w:bCs/>
                <w:sz w:val="20"/>
                <w:szCs w:val="20"/>
              </w:rPr>
              <w:t>9</w:t>
            </w:r>
            <w:r w:rsidRPr="00D3449B">
              <w:rPr>
                <w:b/>
                <w:bCs/>
                <w:sz w:val="20"/>
                <w:szCs w:val="20"/>
              </w:rPr>
              <w:t>.</w:t>
            </w:r>
            <w:r w:rsidR="00D3449B" w:rsidRPr="00D3449B">
              <w:rPr>
                <w:b/>
                <w:bCs/>
                <w:sz w:val="20"/>
                <w:szCs w:val="20"/>
              </w:rPr>
              <w:t>18</w:t>
            </w:r>
            <w:r w:rsidRPr="00D3449B">
              <w:rPr>
                <w:b/>
                <w:bCs/>
                <w:sz w:val="20"/>
                <w:szCs w:val="20"/>
              </w:rPr>
              <w:t>6</w:t>
            </w:r>
          </w:p>
        </w:tc>
      </w:tr>
    </w:tbl>
    <w:p w14:paraId="007B75D9" w14:textId="77777777" w:rsidR="00E16BAD" w:rsidRDefault="00E16BAD" w:rsidP="00E16BAD">
      <w:pPr>
        <w:spacing w:before="0" w:after="0" w:line="240" w:lineRule="auto"/>
      </w:pPr>
    </w:p>
    <w:p w14:paraId="49E58191" w14:textId="77777777" w:rsidR="0080793E" w:rsidRDefault="0080793E" w:rsidP="003C36D7">
      <w:pPr>
        <w:spacing w:before="0" w:line="240" w:lineRule="auto"/>
      </w:pPr>
    </w:p>
    <w:p w14:paraId="65032220" w14:textId="6D936062" w:rsidR="004650C6" w:rsidRDefault="00607EFC" w:rsidP="003C36D7">
      <w:pPr>
        <w:spacing w:before="0" w:line="240" w:lineRule="auto"/>
      </w:pPr>
      <w:r w:rsidRPr="004A501B">
        <w:lastRenderedPageBreak/>
        <w:t xml:space="preserve">Table 2: </w:t>
      </w:r>
      <w:r w:rsidR="004650C6" w:rsidRPr="004A501B">
        <w:t>Capital Expenditure and Financing cumulative (Balance Sheet)</w:t>
      </w:r>
    </w:p>
    <w:tbl>
      <w:tblPr>
        <w:tblStyle w:val="GridTable4-Accent1"/>
        <w:tblW w:w="9088" w:type="dxa"/>
        <w:tblInd w:w="-5" w:type="dxa"/>
        <w:tblLook w:val="04A0" w:firstRow="1" w:lastRow="0" w:firstColumn="1" w:lastColumn="0" w:noHBand="0" w:noVBand="1"/>
      </w:tblPr>
      <w:tblGrid>
        <w:gridCol w:w="2977"/>
        <w:gridCol w:w="1276"/>
        <w:gridCol w:w="1276"/>
        <w:gridCol w:w="1275"/>
        <w:gridCol w:w="1142"/>
        <w:gridCol w:w="1142"/>
      </w:tblGrid>
      <w:tr w:rsidR="0073359F" w:rsidRPr="0073359F" w14:paraId="137AEBC5" w14:textId="77777777" w:rsidTr="0073359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hideMark/>
          </w:tcPr>
          <w:p w14:paraId="6F104D23" w14:textId="77777777" w:rsidR="0073359F" w:rsidRPr="00140321" w:rsidRDefault="0073359F" w:rsidP="00CD2424">
            <w:pPr>
              <w:rPr>
                <w:b w:val="0"/>
                <w:bCs w:val="0"/>
                <w:sz w:val="20"/>
                <w:szCs w:val="20"/>
              </w:rPr>
            </w:pPr>
            <w:r w:rsidRPr="00140321">
              <w:rPr>
                <w:sz w:val="20"/>
                <w:szCs w:val="20"/>
              </w:rPr>
              <w:t xml:space="preserve">Capital Expenditure and Financing </w:t>
            </w:r>
          </w:p>
          <w:p w14:paraId="5F6C312C" w14:textId="77777777" w:rsidR="0073359F" w:rsidRPr="00140321" w:rsidRDefault="0073359F" w:rsidP="00CD2424">
            <w:pPr>
              <w:rPr>
                <w:sz w:val="20"/>
                <w:szCs w:val="20"/>
              </w:rPr>
            </w:pPr>
          </w:p>
        </w:tc>
        <w:tc>
          <w:tcPr>
            <w:tcW w:w="1276" w:type="dxa"/>
          </w:tcPr>
          <w:p w14:paraId="54A74FC2" w14:textId="7D303E28" w:rsidR="0073359F" w:rsidRPr="00140321" w:rsidRDefault="0073359F" w:rsidP="00CD242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0321">
              <w:rPr>
                <w:sz w:val="20"/>
                <w:szCs w:val="20"/>
              </w:rPr>
              <w:t>202</w:t>
            </w:r>
            <w:r w:rsidR="00D004FB">
              <w:rPr>
                <w:sz w:val="20"/>
                <w:szCs w:val="20"/>
              </w:rPr>
              <w:t>1</w:t>
            </w:r>
            <w:r w:rsidRPr="00140321">
              <w:rPr>
                <w:sz w:val="20"/>
                <w:szCs w:val="20"/>
              </w:rPr>
              <w:t>/2</w:t>
            </w:r>
            <w:r w:rsidR="00D004FB">
              <w:rPr>
                <w:sz w:val="20"/>
                <w:szCs w:val="20"/>
              </w:rPr>
              <w:t>2</w:t>
            </w:r>
            <w:r w:rsidRPr="00140321">
              <w:rPr>
                <w:sz w:val="20"/>
                <w:szCs w:val="20"/>
              </w:rPr>
              <w:t xml:space="preserve"> Actual</w:t>
            </w:r>
          </w:p>
          <w:p w14:paraId="31AB9919" w14:textId="77777777" w:rsidR="0073359F" w:rsidRPr="00140321" w:rsidRDefault="0073359F" w:rsidP="00CD2424">
            <w:pPr>
              <w:cnfStyle w:val="100000000000" w:firstRow="1" w:lastRow="0" w:firstColumn="0" w:lastColumn="0" w:oddVBand="0" w:evenVBand="0" w:oddHBand="0" w:evenHBand="0" w:firstRowFirstColumn="0" w:firstRowLastColumn="0" w:lastRowFirstColumn="0" w:lastRowLastColumn="0"/>
              <w:rPr>
                <w:sz w:val="20"/>
                <w:szCs w:val="20"/>
              </w:rPr>
            </w:pPr>
            <w:r w:rsidRPr="00140321">
              <w:rPr>
                <w:sz w:val="20"/>
                <w:szCs w:val="20"/>
              </w:rPr>
              <w:t>£m</w:t>
            </w:r>
          </w:p>
        </w:tc>
        <w:tc>
          <w:tcPr>
            <w:tcW w:w="1276" w:type="dxa"/>
          </w:tcPr>
          <w:p w14:paraId="1F1D22D6" w14:textId="356BFCDF" w:rsidR="0073359F" w:rsidRPr="00140321" w:rsidRDefault="0073359F" w:rsidP="00CD242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0321">
              <w:rPr>
                <w:sz w:val="20"/>
                <w:szCs w:val="20"/>
              </w:rPr>
              <w:t>202</w:t>
            </w:r>
            <w:r w:rsidR="00D004FB">
              <w:rPr>
                <w:sz w:val="20"/>
                <w:szCs w:val="20"/>
              </w:rPr>
              <w:t>2</w:t>
            </w:r>
            <w:r w:rsidRPr="00140321">
              <w:rPr>
                <w:sz w:val="20"/>
                <w:szCs w:val="20"/>
              </w:rPr>
              <w:t>/2</w:t>
            </w:r>
            <w:r w:rsidR="00D004FB">
              <w:rPr>
                <w:sz w:val="20"/>
                <w:szCs w:val="20"/>
              </w:rPr>
              <w:t>3</w:t>
            </w:r>
            <w:r w:rsidRPr="00140321">
              <w:rPr>
                <w:sz w:val="20"/>
                <w:szCs w:val="20"/>
              </w:rPr>
              <w:t xml:space="preserve"> Estimate</w:t>
            </w:r>
          </w:p>
          <w:p w14:paraId="3BCE1B8C" w14:textId="77777777" w:rsidR="0073359F" w:rsidRPr="00140321" w:rsidRDefault="0073359F" w:rsidP="00CD2424">
            <w:pPr>
              <w:cnfStyle w:val="100000000000" w:firstRow="1" w:lastRow="0" w:firstColumn="0" w:lastColumn="0" w:oddVBand="0" w:evenVBand="0" w:oddHBand="0" w:evenHBand="0" w:firstRowFirstColumn="0" w:firstRowLastColumn="0" w:lastRowFirstColumn="0" w:lastRowLastColumn="0"/>
              <w:rPr>
                <w:sz w:val="20"/>
                <w:szCs w:val="20"/>
              </w:rPr>
            </w:pPr>
            <w:r w:rsidRPr="00140321">
              <w:rPr>
                <w:sz w:val="20"/>
                <w:szCs w:val="20"/>
              </w:rPr>
              <w:t>£m</w:t>
            </w:r>
          </w:p>
        </w:tc>
        <w:tc>
          <w:tcPr>
            <w:tcW w:w="1275" w:type="dxa"/>
          </w:tcPr>
          <w:p w14:paraId="6D039F5A" w14:textId="054C7007" w:rsidR="0073359F" w:rsidRPr="00140321" w:rsidRDefault="0073359F" w:rsidP="00CD242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0321">
              <w:rPr>
                <w:sz w:val="20"/>
                <w:szCs w:val="20"/>
              </w:rPr>
              <w:t>202</w:t>
            </w:r>
            <w:r w:rsidR="00D004FB">
              <w:rPr>
                <w:sz w:val="20"/>
                <w:szCs w:val="20"/>
              </w:rPr>
              <w:t>3</w:t>
            </w:r>
            <w:r w:rsidRPr="00140321">
              <w:rPr>
                <w:sz w:val="20"/>
                <w:szCs w:val="20"/>
              </w:rPr>
              <w:t>/2</w:t>
            </w:r>
            <w:r w:rsidR="00D004FB">
              <w:rPr>
                <w:sz w:val="20"/>
                <w:szCs w:val="20"/>
              </w:rPr>
              <w:t>4</w:t>
            </w:r>
            <w:r w:rsidRPr="00140321">
              <w:rPr>
                <w:sz w:val="20"/>
                <w:szCs w:val="20"/>
              </w:rPr>
              <w:t xml:space="preserve">           Estimate</w:t>
            </w:r>
          </w:p>
          <w:p w14:paraId="3F052333" w14:textId="77777777" w:rsidR="0073359F" w:rsidRPr="00140321" w:rsidRDefault="0073359F" w:rsidP="00CD2424">
            <w:pPr>
              <w:cnfStyle w:val="100000000000" w:firstRow="1" w:lastRow="0" w:firstColumn="0" w:lastColumn="0" w:oddVBand="0" w:evenVBand="0" w:oddHBand="0" w:evenHBand="0" w:firstRowFirstColumn="0" w:firstRowLastColumn="0" w:lastRowFirstColumn="0" w:lastRowLastColumn="0"/>
              <w:rPr>
                <w:sz w:val="20"/>
                <w:szCs w:val="20"/>
              </w:rPr>
            </w:pPr>
            <w:r w:rsidRPr="00140321">
              <w:rPr>
                <w:sz w:val="20"/>
                <w:szCs w:val="20"/>
              </w:rPr>
              <w:t>£m</w:t>
            </w:r>
          </w:p>
        </w:tc>
        <w:tc>
          <w:tcPr>
            <w:tcW w:w="1142" w:type="dxa"/>
          </w:tcPr>
          <w:p w14:paraId="43243DC2" w14:textId="7F33D890" w:rsidR="0073359F" w:rsidRPr="00140321" w:rsidRDefault="0073359F" w:rsidP="00CD242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0321">
              <w:rPr>
                <w:sz w:val="20"/>
                <w:szCs w:val="20"/>
              </w:rPr>
              <w:t>202</w:t>
            </w:r>
            <w:r w:rsidR="00D004FB">
              <w:rPr>
                <w:sz w:val="20"/>
                <w:szCs w:val="20"/>
              </w:rPr>
              <w:t>4</w:t>
            </w:r>
            <w:r w:rsidRPr="00140321">
              <w:rPr>
                <w:sz w:val="20"/>
                <w:szCs w:val="20"/>
              </w:rPr>
              <w:t>/2</w:t>
            </w:r>
            <w:r w:rsidR="00D004FB">
              <w:rPr>
                <w:sz w:val="20"/>
                <w:szCs w:val="20"/>
              </w:rPr>
              <w:t>5</w:t>
            </w:r>
            <w:r w:rsidRPr="00140321">
              <w:rPr>
                <w:sz w:val="20"/>
                <w:szCs w:val="20"/>
              </w:rPr>
              <w:t xml:space="preserve">           Estimate</w:t>
            </w:r>
          </w:p>
          <w:p w14:paraId="60621A56" w14:textId="77777777" w:rsidR="0073359F" w:rsidRPr="00140321" w:rsidRDefault="0073359F" w:rsidP="00CD2424">
            <w:pPr>
              <w:cnfStyle w:val="100000000000" w:firstRow="1" w:lastRow="0" w:firstColumn="0" w:lastColumn="0" w:oddVBand="0" w:evenVBand="0" w:oddHBand="0" w:evenHBand="0" w:firstRowFirstColumn="0" w:firstRowLastColumn="0" w:lastRowFirstColumn="0" w:lastRowLastColumn="0"/>
              <w:rPr>
                <w:sz w:val="20"/>
                <w:szCs w:val="20"/>
              </w:rPr>
            </w:pPr>
            <w:r w:rsidRPr="00140321">
              <w:rPr>
                <w:sz w:val="20"/>
                <w:szCs w:val="20"/>
              </w:rPr>
              <w:t>£m</w:t>
            </w:r>
          </w:p>
        </w:tc>
        <w:tc>
          <w:tcPr>
            <w:tcW w:w="1142" w:type="dxa"/>
          </w:tcPr>
          <w:p w14:paraId="2E992D6F" w14:textId="5B239FDD" w:rsidR="0073359F" w:rsidRPr="00140321" w:rsidRDefault="0073359F" w:rsidP="00CD242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0321">
              <w:rPr>
                <w:sz w:val="20"/>
                <w:szCs w:val="20"/>
              </w:rPr>
              <w:t>202</w:t>
            </w:r>
            <w:r w:rsidR="00D004FB">
              <w:rPr>
                <w:sz w:val="20"/>
                <w:szCs w:val="20"/>
              </w:rPr>
              <w:t>5</w:t>
            </w:r>
            <w:r w:rsidRPr="00140321">
              <w:rPr>
                <w:sz w:val="20"/>
                <w:szCs w:val="20"/>
              </w:rPr>
              <w:t>/2</w:t>
            </w:r>
            <w:r w:rsidR="00D004FB">
              <w:rPr>
                <w:sz w:val="20"/>
                <w:szCs w:val="20"/>
              </w:rPr>
              <w:t>6</w:t>
            </w:r>
            <w:r w:rsidRPr="00140321">
              <w:rPr>
                <w:sz w:val="20"/>
                <w:szCs w:val="20"/>
              </w:rPr>
              <w:t xml:space="preserve"> Estimate</w:t>
            </w:r>
          </w:p>
          <w:p w14:paraId="4570CD25" w14:textId="77777777" w:rsidR="0073359F" w:rsidRPr="00140321" w:rsidRDefault="0073359F" w:rsidP="00CD2424">
            <w:pPr>
              <w:cnfStyle w:val="100000000000" w:firstRow="1" w:lastRow="0" w:firstColumn="0" w:lastColumn="0" w:oddVBand="0" w:evenVBand="0" w:oddHBand="0" w:evenHBand="0" w:firstRowFirstColumn="0" w:firstRowLastColumn="0" w:lastRowFirstColumn="0" w:lastRowLastColumn="0"/>
              <w:rPr>
                <w:sz w:val="20"/>
                <w:szCs w:val="20"/>
              </w:rPr>
            </w:pPr>
            <w:r w:rsidRPr="00140321">
              <w:rPr>
                <w:sz w:val="20"/>
                <w:szCs w:val="20"/>
              </w:rPr>
              <w:t>£m</w:t>
            </w:r>
          </w:p>
        </w:tc>
      </w:tr>
      <w:tr w:rsidR="0073359F" w:rsidRPr="0073359F" w14:paraId="57430ED7" w14:textId="77777777" w:rsidTr="003C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DB3AA8C" w14:textId="77777777" w:rsidR="0073359F" w:rsidRPr="00D80075" w:rsidRDefault="0073359F" w:rsidP="003C36D7">
            <w:pPr>
              <w:spacing w:before="0" w:after="0"/>
              <w:rPr>
                <w:b w:val="0"/>
                <w:bCs w:val="0"/>
                <w:sz w:val="20"/>
                <w:szCs w:val="20"/>
              </w:rPr>
            </w:pPr>
            <w:r w:rsidRPr="00D80075">
              <w:rPr>
                <w:b w:val="0"/>
                <w:bCs w:val="0"/>
                <w:sz w:val="20"/>
                <w:szCs w:val="20"/>
              </w:rPr>
              <w:t>Land &amp; Buildings</w:t>
            </w:r>
          </w:p>
        </w:tc>
        <w:tc>
          <w:tcPr>
            <w:tcW w:w="0" w:type="dxa"/>
            <w:vAlign w:val="center"/>
          </w:tcPr>
          <w:p w14:paraId="20A2AFBA" w14:textId="1BD84417"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6.180</w:t>
            </w:r>
          </w:p>
        </w:tc>
        <w:tc>
          <w:tcPr>
            <w:tcW w:w="0" w:type="dxa"/>
            <w:vAlign w:val="center"/>
          </w:tcPr>
          <w:p w14:paraId="1C3C3795" w14:textId="07DBA738"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21.790</w:t>
            </w:r>
          </w:p>
        </w:tc>
        <w:tc>
          <w:tcPr>
            <w:tcW w:w="0" w:type="dxa"/>
            <w:vAlign w:val="center"/>
          </w:tcPr>
          <w:p w14:paraId="4D2D0DC5" w14:textId="638EAD98"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32.989</w:t>
            </w:r>
          </w:p>
        </w:tc>
        <w:tc>
          <w:tcPr>
            <w:tcW w:w="0" w:type="dxa"/>
            <w:vAlign w:val="center"/>
          </w:tcPr>
          <w:p w14:paraId="547612B6" w14:textId="13323154"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49.340</w:t>
            </w:r>
          </w:p>
        </w:tc>
        <w:tc>
          <w:tcPr>
            <w:tcW w:w="0" w:type="dxa"/>
            <w:vAlign w:val="center"/>
          </w:tcPr>
          <w:p w14:paraId="50B8A948" w14:textId="31CCCF17"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62.179</w:t>
            </w:r>
          </w:p>
        </w:tc>
      </w:tr>
      <w:tr w:rsidR="0073359F" w:rsidRPr="0073359F" w14:paraId="677D4B53" w14:textId="77777777" w:rsidTr="003C36D7">
        <w:trPr>
          <w:trHeight w:val="45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29D2639" w14:textId="77777777" w:rsidR="0073359F" w:rsidRPr="00D80075" w:rsidRDefault="0073359F" w:rsidP="003C36D7">
            <w:pPr>
              <w:spacing w:before="0" w:after="0"/>
              <w:rPr>
                <w:b w:val="0"/>
                <w:bCs w:val="0"/>
                <w:sz w:val="20"/>
                <w:szCs w:val="20"/>
              </w:rPr>
            </w:pPr>
            <w:r w:rsidRPr="00D80075">
              <w:rPr>
                <w:b w:val="0"/>
                <w:bCs w:val="0"/>
                <w:sz w:val="20"/>
                <w:szCs w:val="20"/>
              </w:rPr>
              <w:t>Vehicles / Boat</w:t>
            </w:r>
          </w:p>
        </w:tc>
        <w:tc>
          <w:tcPr>
            <w:tcW w:w="0" w:type="dxa"/>
            <w:vAlign w:val="center"/>
          </w:tcPr>
          <w:p w14:paraId="21D02390" w14:textId="678F3A69"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1.501</w:t>
            </w:r>
          </w:p>
        </w:tc>
        <w:tc>
          <w:tcPr>
            <w:tcW w:w="0" w:type="dxa"/>
            <w:vAlign w:val="center"/>
          </w:tcPr>
          <w:p w14:paraId="48F11065" w14:textId="79443301"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3.419</w:t>
            </w:r>
          </w:p>
        </w:tc>
        <w:tc>
          <w:tcPr>
            <w:tcW w:w="0" w:type="dxa"/>
            <w:vAlign w:val="center"/>
          </w:tcPr>
          <w:p w14:paraId="630EDEA9" w14:textId="12577872"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4.699</w:t>
            </w:r>
          </w:p>
        </w:tc>
        <w:tc>
          <w:tcPr>
            <w:tcW w:w="0" w:type="dxa"/>
            <w:vAlign w:val="center"/>
          </w:tcPr>
          <w:p w14:paraId="4C80EFC8" w14:textId="38CB9656"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6.713</w:t>
            </w:r>
          </w:p>
        </w:tc>
        <w:tc>
          <w:tcPr>
            <w:tcW w:w="0" w:type="dxa"/>
            <w:vAlign w:val="center"/>
          </w:tcPr>
          <w:p w14:paraId="097BA533" w14:textId="74285AEE"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8.393</w:t>
            </w:r>
          </w:p>
        </w:tc>
      </w:tr>
      <w:tr w:rsidR="0073359F" w:rsidRPr="0073359F" w14:paraId="4470BA4F" w14:textId="77777777" w:rsidTr="003C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CBF9907" w14:textId="77777777" w:rsidR="0073359F" w:rsidRPr="00D80075" w:rsidRDefault="0073359F" w:rsidP="003C36D7">
            <w:pPr>
              <w:spacing w:before="0" w:after="0"/>
              <w:rPr>
                <w:b w:val="0"/>
                <w:bCs w:val="0"/>
                <w:sz w:val="20"/>
                <w:szCs w:val="20"/>
              </w:rPr>
            </w:pPr>
            <w:r w:rsidRPr="00D80075">
              <w:rPr>
                <w:b w:val="0"/>
                <w:bCs w:val="0"/>
                <w:sz w:val="20"/>
                <w:szCs w:val="20"/>
              </w:rPr>
              <w:t>ICT and Other Schemes</w:t>
            </w:r>
          </w:p>
        </w:tc>
        <w:tc>
          <w:tcPr>
            <w:tcW w:w="0" w:type="dxa"/>
            <w:vAlign w:val="center"/>
          </w:tcPr>
          <w:p w14:paraId="6D5E6E44" w14:textId="66288D1B"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1.458</w:t>
            </w:r>
          </w:p>
        </w:tc>
        <w:tc>
          <w:tcPr>
            <w:tcW w:w="0" w:type="dxa"/>
            <w:vAlign w:val="center"/>
          </w:tcPr>
          <w:p w14:paraId="5AB926E7" w14:textId="3E637765"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6.555</w:t>
            </w:r>
          </w:p>
        </w:tc>
        <w:tc>
          <w:tcPr>
            <w:tcW w:w="0" w:type="dxa"/>
            <w:vAlign w:val="center"/>
          </w:tcPr>
          <w:p w14:paraId="0C166408" w14:textId="31622DD9"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12.309</w:t>
            </w:r>
          </w:p>
        </w:tc>
        <w:tc>
          <w:tcPr>
            <w:tcW w:w="0" w:type="dxa"/>
            <w:vAlign w:val="center"/>
          </w:tcPr>
          <w:p w14:paraId="520840E6" w14:textId="7CFA8D7D"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15.569</w:t>
            </w:r>
          </w:p>
        </w:tc>
        <w:tc>
          <w:tcPr>
            <w:tcW w:w="0" w:type="dxa"/>
            <w:vAlign w:val="center"/>
          </w:tcPr>
          <w:p w14:paraId="21AEA806" w14:textId="5B2A20A6"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20.236</w:t>
            </w:r>
          </w:p>
        </w:tc>
      </w:tr>
      <w:tr w:rsidR="0073359F" w:rsidRPr="0073359F" w14:paraId="6C3583E3" w14:textId="77777777" w:rsidTr="003C36D7">
        <w:trPr>
          <w:trHeight w:val="45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3A83128" w14:textId="77777777" w:rsidR="0073359F" w:rsidRPr="00D80075" w:rsidRDefault="0073359F" w:rsidP="003C36D7">
            <w:pPr>
              <w:spacing w:before="0" w:after="0"/>
              <w:rPr>
                <w:sz w:val="20"/>
                <w:szCs w:val="20"/>
              </w:rPr>
            </w:pPr>
            <w:r w:rsidRPr="00D80075">
              <w:rPr>
                <w:sz w:val="20"/>
                <w:szCs w:val="20"/>
              </w:rPr>
              <w:t>Total Expenditure</w:t>
            </w:r>
          </w:p>
        </w:tc>
        <w:tc>
          <w:tcPr>
            <w:tcW w:w="0" w:type="dxa"/>
            <w:vAlign w:val="center"/>
          </w:tcPr>
          <w:p w14:paraId="567297CF" w14:textId="4EBE44AA"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C87CE9">
              <w:rPr>
                <w:b/>
                <w:bCs/>
                <w:sz w:val="20"/>
                <w:szCs w:val="20"/>
              </w:rPr>
              <w:t>9.139</w:t>
            </w:r>
          </w:p>
        </w:tc>
        <w:tc>
          <w:tcPr>
            <w:tcW w:w="0" w:type="dxa"/>
            <w:vAlign w:val="center"/>
          </w:tcPr>
          <w:p w14:paraId="0536B698" w14:textId="7DBE0812"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C87CE9">
              <w:rPr>
                <w:b/>
                <w:bCs/>
                <w:sz w:val="20"/>
                <w:szCs w:val="20"/>
              </w:rPr>
              <w:t>31.764</w:t>
            </w:r>
          </w:p>
        </w:tc>
        <w:tc>
          <w:tcPr>
            <w:tcW w:w="0" w:type="dxa"/>
            <w:vAlign w:val="center"/>
          </w:tcPr>
          <w:p w14:paraId="1F07A942" w14:textId="3D7DB013"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C87CE9">
              <w:rPr>
                <w:b/>
                <w:bCs/>
                <w:sz w:val="20"/>
                <w:szCs w:val="20"/>
              </w:rPr>
              <w:t>49.997</w:t>
            </w:r>
          </w:p>
        </w:tc>
        <w:tc>
          <w:tcPr>
            <w:tcW w:w="0" w:type="dxa"/>
            <w:vAlign w:val="center"/>
          </w:tcPr>
          <w:p w14:paraId="03F4F9C2" w14:textId="652CD51F"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C87CE9">
              <w:rPr>
                <w:b/>
                <w:bCs/>
                <w:sz w:val="20"/>
                <w:szCs w:val="20"/>
              </w:rPr>
              <w:t>71.622</w:t>
            </w:r>
          </w:p>
        </w:tc>
        <w:tc>
          <w:tcPr>
            <w:tcW w:w="0" w:type="dxa"/>
            <w:vAlign w:val="center"/>
          </w:tcPr>
          <w:p w14:paraId="681E4477" w14:textId="72D3E247"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C87CE9">
              <w:rPr>
                <w:b/>
                <w:bCs/>
                <w:sz w:val="20"/>
                <w:szCs w:val="20"/>
              </w:rPr>
              <w:t>90.808</w:t>
            </w:r>
          </w:p>
        </w:tc>
      </w:tr>
      <w:tr w:rsidR="0073359F" w:rsidRPr="0073359F" w14:paraId="0BB5B835" w14:textId="77777777" w:rsidTr="003C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5C118291" w14:textId="77777777" w:rsidR="0073359F" w:rsidRPr="00D80075" w:rsidRDefault="0073359F" w:rsidP="003C36D7">
            <w:pPr>
              <w:spacing w:before="0" w:after="0"/>
              <w:rPr>
                <w:sz w:val="20"/>
                <w:szCs w:val="20"/>
              </w:rPr>
            </w:pPr>
          </w:p>
        </w:tc>
        <w:tc>
          <w:tcPr>
            <w:tcW w:w="0" w:type="dxa"/>
            <w:vAlign w:val="center"/>
          </w:tcPr>
          <w:p w14:paraId="26CACC1E" w14:textId="77777777" w:rsidR="0073359F" w:rsidRPr="00C87CE9" w:rsidRDefault="0073359F"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vAlign w:val="center"/>
          </w:tcPr>
          <w:p w14:paraId="4D0573C3" w14:textId="77777777" w:rsidR="0073359F" w:rsidRPr="00C87CE9" w:rsidRDefault="0073359F"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vAlign w:val="center"/>
          </w:tcPr>
          <w:p w14:paraId="6536EA03" w14:textId="77777777" w:rsidR="0073359F" w:rsidRPr="00C87CE9" w:rsidRDefault="0073359F"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vAlign w:val="center"/>
          </w:tcPr>
          <w:p w14:paraId="06BC5DB2" w14:textId="77777777" w:rsidR="0073359F" w:rsidRPr="00C87CE9" w:rsidRDefault="0073359F"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vAlign w:val="center"/>
          </w:tcPr>
          <w:p w14:paraId="036318A9" w14:textId="77777777" w:rsidR="0073359F" w:rsidRPr="00C87CE9" w:rsidRDefault="0073359F"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73359F" w:rsidRPr="0073359F" w14:paraId="73CC888A" w14:textId="77777777" w:rsidTr="003C36D7">
        <w:trPr>
          <w:trHeight w:val="454"/>
        </w:trPr>
        <w:tc>
          <w:tcPr>
            <w:cnfStyle w:val="001000000000" w:firstRow="0" w:lastRow="0" w:firstColumn="1" w:lastColumn="0" w:oddVBand="0" w:evenVBand="0" w:oddHBand="0" w:evenHBand="0" w:firstRowFirstColumn="0" w:firstRowLastColumn="0" w:lastRowFirstColumn="0" w:lastRowLastColumn="0"/>
            <w:tcW w:w="0" w:type="dxa"/>
            <w:shd w:val="clear" w:color="auto" w:fill="FBD4B4" w:themeFill="accent6" w:themeFillTint="66"/>
            <w:noWrap/>
            <w:vAlign w:val="center"/>
            <w:hideMark/>
          </w:tcPr>
          <w:p w14:paraId="55686E31" w14:textId="77777777" w:rsidR="0073359F" w:rsidRPr="00D80075" w:rsidRDefault="0073359F" w:rsidP="003C36D7">
            <w:pPr>
              <w:spacing w:before="0" w:after="0"/>
              <w:rPr>
                <w:sz w:val="20"/>
                <w:szCs w:val="20"/>
              </w:rPr>
            </w:pPr>
            <w:r w:rsidRPr="00D80075">
              <w:rPr>
                <w:sz w:val="20"/>
                <w:szCs w:val="20"/>
              </w:rPr>
              <w:t>Borrowing Requirement</w:t>
            </w:r>
          </w:p>
        </w:tc>
        <w:tc>
          <w:tcPr>
            <w:tcW w:w="0" w:type="dxa"/>
            <w:shd w:val="clear" w:color="auto" w:fill="FBD4B4" w:themeFill="accent6" w:themeFillTint="66"/>
            <w:vAlign w:val="center"/>
          </w:tcPr>
          <w:p w14:paraId="22583CB2" w14:textId="49808125"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5.234</w:t>
            </w:r>
          </w:p>
        </w:tc>
        <w:tc>
          <w:tcPr>
            <w:tcW w:w="0" w:type="dxa"/>
            <w:shd w:val="clear" w:color="auto" w:fill="FBD4B4" w:themeFill="accent6" w:themeFillTint="66"/>
            <w:vAlign w:val="center"/>
          </w:tcPr>
          <w:p w14:paraId="2E1D4BE9" w14:textId="548D5615"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20.844</w:t>
            </w:r>
          </w:p>
        </w:tc>
        <w:tc>
          <w:tcPr>
            <w:tcW w:w="0" w:type="dxa"/>
            <w:shd w:val="clear" w:color="auto" w:fill="FBD4B4" w:themeFill="accent6" w:themeFillTint="66"/>
            <w:vAlign w:val="center"/>
          </w:tcPr>
          <w:p w14:paraId="34F5FBEB" w14:textId="43CAD6D2"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32.043</w:t>
            </w:r>
          </w:p>
        </w:tc>
        <w:tc>
          <w:tcPr>
            <w:tcW w:w="0" w:type="dxa"/>
            <w:shd w:val="clear" w:color="auto" w:fill="FBD4B4" w:themeFill="accent6" w:themeFillTint="66"/>
            <w:vAlign w:val="center"/>
          </w:tcPr>
          <w:p w14:paraId="5BCE2AC7" w14:textId="2C749BC4"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50.005</w:t>
            </w:r>
          </w:p>
        </w:tc>
        <w:tc>
          <w:tcPr>
            <w:tcW w:w="0" w:type="dxa"/>
            <w:shd w:val="clear" w:color="auto" w:fill="FBD4B4" w:themeFill="accent6" w:themeFillTint="66"/>
            <w:vAlign w:val="center"/>
          </w:tcPr>
          <w:p w14:paraId="0F4C0E48" w14:textId="12B00BC7"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65.359</w:t>
            </w:r>
          </w:p>
        </w:tc>
      </w:tr>
      <w:tr w:rsidR="0073359F" w:rsidRPr="0073359F" w14:paraId="6A03D4F6" w14:textId="77777777" w:rsidTr="003C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089F12AB" w14:textId="77777777" w:rsidR="0073359F" w:rsidRPr="00D80075" w:rsidRDefault="0073359F" w:rsidP="003C36D7">
            <w:pPr>
              <w:spacing w:before="0" w:after="0"/>
              <w:rPr>
                <w:b w:val="0"/>
                <w:bCs w:val="0"/>
                <w:sz w:val="20"/>
                <w:szCs w:val="20"/>
              </w:rPr>
            </w:pPr>
            <w:r w:rsidRPr="00D80075">
              <w:rPr>
                <w:b w:val="0"/>
                <w:bCs w:val="0"/>
                <w:sz w:val="20"/>
                <w:szCs w:val="20"/>
              </w:rPr>
              <w:t>Capital Grants</w:t>
            </w:r>
          </w:p>
        </w:tc>
        <w:tc>
          <w:tcPr>
            <w:tcW w:w="0" w:type="dxa"/>
            <w:vAlign w:val="center"/>
          </w:tcPr>
          <w:p w14:paraId="599BD966" w14:textId="25264A95"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1.346</w:t>
            </w:r>
          </w:p>
        </w:tc>
        <w:tc>
          <w:tcPr>
            <w:tcW w:w="0" w:type="dxa"/>
            <w:vAlign w:val="center"/>
          </w:tcPr>
          <w:p w14:paraId="4AF00F7F" w14:textId="692917E4"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1.549</w:t>
            </w:r>
          </w:p>
        </w:tc>
        <w:tc>
          <w:tcPr>
            <w:tcW w:w="0" w:type="dxa"/>
            <w:vAlign w:val="center"/>
          </w:tcPr>
          <w:p w14:paraId="768F551F" w14:textId="68F09123"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1.599</w:t>
            </w:r>
          </w:p>
        </w:tc>
        <w:tc>
          <w:tcPr>
            <w:tcW w:w="0" w:type="dxa"/>
            <w:vAlign w:val="center"/>
          </w:tcPr>
          <w:p w14:paraId="73C18C3B" w14:textId="78BCA436"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1.649</w:t>
            </w:r>
          </w:p>
        </w:tc>
        <w:tc>
          <w:tcPr>
            <w:tcW w:w="0" w:type="dxa"/>
            <w:vAlign w:val="center"/>
          </w:tcPr>
          <w:p w14:paraId="632DAAF1" w14:textId="6F6FD8D9"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1.719</w:t>
            </w:r>
          </w:p>
        </w:tc>
      </w:tr>
      <w:tr w:rsidR="0073359F" w:rsidRPr="0073359F" w14:paraId="4F02920D" w14:textId="77777777" w:rsidTr="003C36D7">
        <w:trPr>
          <w:trHeight w:val="45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00DD369" w14:textId="77777777" w:rsidR="0073359F" w:rsidRPr="00D80075" w:rsidRDefault="0073359F" w:rsidP="003C36D7">
            <w:pPr>
              <w:spacing w:before="0" w:after="0"/>
              <w:rPr>
                <w:b w:val="0"/>
                <w:bCs w:val="0"/>
                <w:sz w:val="20"/>
                <w:szCs w:val="20"/>
              </w:rPr>
            </w:pPr>
            <w:r w:rsidRPr="00D80075">
              <w:rPr>
                <w:b w:val="0"/>
                <w:bCs w:val="0"/>
                <w:sz w:val="20"/>
                <w:szCs w:val="20"/>
              </w:rPr>
              <w:t>Contribution from Revenue</w:t>
            </w:r>
          </w:p>
        </w:tc>
        <w:tc>
          <w:tcPr>
            <w:tcW w:w="0" w:type="dxa"/>
            <w:vAlign w:val="center"/>
          </w:tcPr>
          <w:p w14:paraId="1D742828" w14:textId="06D6BCE3"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2.522</w:t>
            </w:r>
          </w:p>
        </w:tc>
        <w:tc>
          <w:tcPr>
            <w:tcW w:w="0" w:type="dxa"/>
            <w:vAlign w:val="center"/>
          </w:tcPr>
          <w:p w14:paraId="0C35452D" w14:textId="6B6A91D4"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5.470</w:t>
            </w:r>
          </w:p>
        </w:tc>
        <w:tc>
          <w:tcPr>
            <w:tcW w:w="0" w:type="dxa"/>
            <w:vAlign w:val="center"/>
          </w:tcPr>
          <w:p w14:paraId="72AB7D20" w14:textId="73396C10"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7.776</w:t>
            </w:r>
          </w:p>
        </w:tc>
        <w:tc>
          <w:tcPr>
            <w:tcW w:w="0" w:type="dxa"/>
            <w:vAlign w:val="center"/>
          </w:tcPr>
          <w:p w14:paraId="37EC3427" w14:textId="500D930C"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10.451</w:t>
            </w:r>
          </w:p>
        </w:tc>
        <w:tc>
          <w:tcPr>
            <w:tcW w:w="0" w:type="dxa"/>
            <w:vAlign w:val="center"/>
          </w:tcPr>
          <w:p w14:paraId="7B999BFF" w14:textId="0284A3BB"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14.162</w:t>
            </w:r>
          </w:p>
        </w:tc>
      </w:tr>
      <w:tr w:rsidR="0073359F" w:rsidRPr="0073359F" w14:paraId="574F9A08" w14:textId="77777777" w:rsidTr="003C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0A9E5D9" w14:textId="77777777" w:rsidR="0073359F" w:rsidRPr="00D80075" w:rsidRDefault="0073359F" w:rsidP="003C36D7">
            <w:pPr>
              <w:spacing w:before="0" w:after="0"/>
              <w:rPr>
                <w:b w:val="0"/>
                <w:bCs w:val="0"/>
                <w:sz w:val="20"/>
                <w:szCs w:val="20"/>
              </w:rPr>
            </w:pPr>
            <w:r w:rsidRPr="00D80075">
              <w:rPr>
                <w:b w:val="0"/>
                <w:bCs w:val="0"/>
                <w:sz w:val="20"/>
                <w:szCs w:val="20"/>
              </w:rPr>
              <w:t>Capital Receipts</w:t>
            </w:r>
          </w:p>
        </w:tc>
        <w:tc>
          <w:tcPr>
            <w:tcW w:w="0" w:type="dxa"/>
            <w:vAlign w:val="center"/>
          </w:tcPr>
          <w:p w14:paraId="00E3899B" w14:textId="406666A1" w:rsidR="0073359F" w:rsidRPr="00C87CE9" w:rsidRDefault="0073359F"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0.0</w:t>
            </w:r>
            <w:r w:rsidR="00C87CE9" w:rsidRPr="00C87CE9">
              <w:rPr>
                <w:sz w:val="20"/>
                <w:szCs w:val="20"/>
              </w:rPr>
              <w:t>37</w:t>
            </w:r>
          </w:p>
        </w:tc>
        <w:tc>
          <w:tcPr>
            <w:tcW w:w="0" w:type="dxa"/>
            <w:vAlign w:val="center"/>
          </w:tcPr>
          <w:p w14:paraId="3422B5A2" w14:textId="258994BE" w:rsidR="0073359F" w:rsidRPr="00C87CE9" w:rsidRDefault="0073359F"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0.</w:t>
            </w:r>
            <w:r w:rsidR="00C87CE9" w:rsidRPr="00C87CE9">
              <w:rPr>
                <w:sz w:val="20"/>
                <w:szCs w:val="20"/>
              </w:rPr>
              <w:t>087</w:t>
            </w:r>
          </w:p>
        </w:tc>
        <w:tc>
          <w:tcPr>
            <w:tcW w:w="0" w:type="dxa"/>
            <w:vAlign w:val="center"/>
          </w:tcPr>
          <w:p w14:paraId="329ED5C8" w14:textId="17DD54E5" w:rsidR="0073359F" w:rsidRPr="00C87CE9" w:rsidRDefault="0073359F"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0.</w:t>
            </w:r>
            <w:r w:rsidR="00C87CE9" w:rsidRPr="00C87CE9">
              <w:rPr>
                <w:sz w:val="20"/>
                <w:szCs w:val="20"/>
              </w:rPr>
              <w:t>487</w:t>
            </w:r>
          </w:p>
        </w:tc>
        <w:tc>
          <w:tcPr>
            <w:tcW w:w="0" w:type="dxa"/>
            <w:vAlign w:val="center"/>
          </w:tcPr>
          <w:p w14:paraId="127C150A" w14:textId="194D0613" w:rsidR="0073359F" w:rsidRPr="00C87CE9" w:rsidRDefault="0073359F"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0.</w:t>
            </w:r>
            <w:r w:rsidR="00C87CE9" w:rsidRPr="00C87CE9">
              <w:rPr>
                <w:sz w:val="20"/>
                <w:szCs w:val="20"/>
              </w:rPr>
              <w:t>987</w:t>
            </w:r>
          </w:p>
        </w:tc>
        <w:tc>
          <w:tcPr>
            <w:tcW w:w="0" w:type="dxa"/>
            <w:vAlign w:val="center"/>
          </w:tcPr>
          <w:p w14:paraId="3D3FE561" w14:textId="77F18BE3" w:rsidR="0073359F" w:rsidRPr="00C87CE9" w:rsidRDefault="0073359F" w:rsidP="003C36D7">
            <w:pPr>
              <w:spacing w:before="0"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C87CE9">
              <w:rPr>
                <w:sz w:val="20"/>
                <w:szCs w:val="20"/>
              </w:rPr>
              <w:t>1.</w:t>
            </w:r>
            <w:r w:rsidR="00C87CE9" w:rsidRPr="00C87CE9">
              <w:rPr>
                <w:sz w:val="20"/>
                <w:szCs w:val="20"/>
              </w:rPr>
              <w:t>037</w:t>
            </w:r>
          </w:p>
        </w:tc>
      </w:tr>
      <w:tr w:rsidR="0073359F" w:rsidRPr="0073359F" w14:paraId="1D121283" w14:textId="77777777" w:rsidTr="003C36D7">
        <w:trPr>
          <w:trHeight w:val="454"/>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23D51AB2" w14:textId="77777777" w:rsidR="0073359F" w:rsidRPr="00D80075" w:rsidRDefault="0073359F" w:rsidP="003C36D7">
            <w:pPr>
              <w:spacing w:before="0" w:after="0"/>
              <w:rPr>
                <w:b w:val="0"/>
                <w:bCs w:val="0"/>
                <w:sz w:val="20"/>
                <w:szCs w:val="20"/>
              </w:rPr>
            </w:pPr>
            <w:r w:rsidRPr="00D80075">
              <w:rPr>
                <w:b w:val="0"/>
                <w:bCs w:val="0"/>
                <w:sz w:val="20"/>
                <w:szCs w:val="20"/>
              </w:rPr>
              <w:t>Capital Reserve</w:t>
            </w:r>
          </w:p>
        </w:tc>
        <w:tc>
          <w:tcPr>
            <w:tcW w:w="0" w:type="dxa"/>
            <w:vAlign w:val="center"/>
          </w:tcPr>
          <w:p w14:paraId="416DE6D2" w14:textId="2760939A"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w:t>
            </w:r>
          </w:p>
        </w:tc>
        <w:tc>
          <w:tcPr>
            <w:tcW w:w="0" w:type="dxa"/>
            <w:vAlign w:val="center"/>
          </w:tcPr>
          <w:p w14:paraId="303CDD0F" w14:textId="0DA04842"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3.814</w:t>
            </w:r>
          </w:p>
        </w:tc>
        <w:tc>
          <w:tcPr>
            <w:tcW w:w="0" w:type="dxa"/>
            <w:vAlign w:val="center"/>
          </w:tcPr>
          <w:p w14:paraId="29F948F7" w14:textId="23A3C55C"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8.092</w:t>
            </w:r>
          </w:p>
        </w:tc>
        <w:tc>
          <w:tcPr>
            <w:tcW w:w="0" w:type="dxa"/>
            <w:vAlign w:val="center"/>
          </w:tcPr>
          <w:p w14:paraId="5B70EE44" w14:textId="6E6AF429"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8.530</w:t>
            </w:r>
          </w:p>
        </w:tc>
        <w:tc>
          <w:tcPr>
            <w:tcW w:w="0" w:type="dxa"/>
            <w:vAlign w:val="center"/>
          </w:tcPr>
          <w:p w14:paraId="16718BEF" w14:textId="5BF438B5" w:rsidR="0073359F" w:rsidRPr="00C87CE9" w:rsidRDefault="00C87CE9" w:rsidP="003C36D7">
            <w:pPr>
              <w:spacing w:before="0"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C87CE9">
              <w:rPr>
                <w:sz w:val="20"/>
                <w:szCs w:val="20"/>
              </w:rPr>
              <w:t>8.531</w:t>
            </w:r>
          </w:p>
        </w:tc>
      </w:tr>
      <w:tr w:rsidR="0073359F" w:rsidRPr="0073359F" w14:paraId="28EA28E5" w14:textId="77777777" w:rsidTr="003C36D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95CF864" w14:textId="77777777" w:rsidR="0073359F" w:rsidRPr="00D80075" w:rsidRDefault="0073359F" w:rsidP="003C36D7">
            <w:pPr>
              <w:spacing w:before="0" w:after="0"/>
              <w:rPr>
                <w:sz w:val="20"/>
                <w:szCs w:val="20"/>
              </w:rPr>
            </w:pPr>
            <w:r w:rsidRPr="00D80075">
              <w:rPr>
                <w:sz w:val="20"/>
                <w:szCs w:val="20"/>
              </w:rPr>
              <w:t>Total Financing</w:t>
            </w:r>
          </w:p>
        </w:tc>
        <w:tc>
          <w:tcPr>
            <w:tcW w:w="0" w:type="dxa"/>
            <w:vAlign w:val="center"/>
          </w:tcPr>
          <w:p w14:paraId="5EB1F522" w14:textId="6CD5D26B"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C87CE9">
              <w:rPr>
                <w:b/>
                <w:bCs/>
                <w:sz w:val="20"/>
                <w:szCs w:val="20"/>
              </w:rPr>
              <w:t>9.139</w:t>
            </w:r>
          </w:p>
        </w:tc>
        <w:tc>
          <w:tcPr>
            <w:tcW w:w="0" w:type="dxa"/>
            <w:vAlign w:val="center"/>
          </w:tcPr>
          <w:p w14:paraId="6C160D43" w14:textId="4F58248F"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C87CE9">
              <w:rPr>
                <w:b/>
                <w:bCs/>
                <w:sz w:val="20"/>
                <w:szCs w:val="20"/>
              </w:rPr>
              <w:t>31.764</w:t>
            </w:r>
          </w:p>
        </w:tc>
        <w:tc>
          <w:tcPr>
            <w:tcW w:w="0" w:type="dxa"/>
            <w:vAlign w:val="center"/>
          </w:tcPr>
          <w:p w14:paraId="2507C378" w14:textId="5EC5C01D"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C87CE9">
              <w:rPr>
                <w:b/>
                <w:bCs/>
                <w:sz w:val="20"/>
                <w:szCs w:val="20"/>
              </w:rPr>
              <w:t>49.997</w:t>
            </w:r>
          </w:p>
        </w:tc>
        <w:tc>
          <w:tcPr>
            <w:tcW w:w="0" w:type="dxa"/>
            <w:vAlign w:val="center"/>
          </w:tcPr>
          <w:p w14:paraId="35E29D73" w14:textId="61D97B76"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C87CE9">
              <w:rPr>
                <w:b/>
                <w:bCs/>
                <w:sz w:val="20"/>
                <w:szCs w:val="20"/>
              </w:rPr>
              <w:t>71.622</w:t>
            </w:r>
          </w:p>
        </w:tc>
        <w:tc>
          <w:tcPr>
            <w:tcW w:w="0" w:type="dxa"/>
            <w:vAlign w:val="center"/>
          </w:tcPr>
          <w:p w14:paraId="51BF09DC" w14:textId="31397E02" w:rsidR="0073359F" w:rsidRPr="00C87CE9" w:rsidRDefault="00C87CE9" w:rsidP="003C36D7">
            <w:pPr>
              <w:spacing w:before="0" w:after="0"/>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C87CE9">
              <w:rPr>
                <w:b/>
                <w:bCs/>
                <w:sz w:val="20"/>
                <w:szCs w:val="20"/>
              </w:rPr>
              <w:t>90.808</w:t>
            </w:r>
          </w:p>
        </w:tc>
      </w:tr>
    </w:tbl>
    <w:p w14:paraId="175B8112" w14:textId="660E2D3D" w:rsidR="00770E1C" w:rsidRPr="004A501B" w:rsidRDefault="00770E1C" w:rsidP="002D5343">
      <w:r w:rsidRPr="004A501B">
        <w:t xml:space="preserve">The underlying need to borrow for capital purposes is measured by the Capital Financing Requirement (CFR), while usable reserves and working capital are the underlying resources available for investment.  The </w:t>
      </w:r>
      <w:r w:rsidR="00657EFA" w:rsidRPr="004A501B">
        <w:t>Commissioner</w:t>
      </w:r>
      <w:r w:rsidRPr="004A501B">
        <w:t xml:space="preserve">’s current strategy is to </w:t>
      </w:r>
      <w:r w:rsidR="00966D2A" w:rsidRPr="004A501B">
        <w:t xml:space="preserve">use its own resources in lieu of external </w:t>
      </w:r>
      <w:r w:rsidRPr="004A501B">
        <w:t xml:space="preserve">borrowing </w:t>
      </w:r>
      <w:r w:rsidR="00966D2A" w:rsidRPr="004A501B">
        <w:t xml:space="preserve">where possible. This is </w:t>
      </w:r>
      <w:r w:rsidR="00CC388E">
        <w:t>often</w:t>
      </w:r>
      <w:r w:rsidR="00CC388E" w:rsidRPr="004A501B">
        <w:t xml:space="preserve"> </w:t>
      </w:r>
      <w:r w:rsidRPr="004A501B">
        <w:t>known as internal borrowing.</w:t>
      </w:r>
    </w:p>
    <w:p w14:paraId="2C733E25" w14:textId="017C6A0C" w:rsidR="00770E1C" w:rsidRPr="004A501B" w:rsidRDefault="00770E1C" w:rsidP="002D5343">
      <w:r w:rsidRPr="00D80075">
        <w:t xml:space="preserve">The </w:t>
      </w:r>
      <w:r w:rsidR="00657EFA" w:rsidRPr="00D80075">
        <w:t>Commissioner</w:t>
      </w:r>
      <w:r w:rsidRPr="00D80075">
        <w:t xml:space="preserve"> has an increasing CFR due to the </w:t>
      </w:r>
      <w:r w:rsidR="00CC388E" w:rsidRPr="00D80075">
        <w:t xml:space="preserve">planned expenditure described in the </w:t>
      </w:r>
      <w:r w:rsidRPr="00D80075">
        <w:t>Capital Programme</w:t>
      </w:r>
      <w:r w:rsidR="00CC388E" w:rsidRPr="00D80075">
        <w:t>.</w:t>
      </w:r>
      <w:r w:rsidRPr="00D80075">
        <w:t xml:space="preserve"> </w:t>
      </w:r>
      <w:r w:rsidR="00CC388E" w:rsidRPr="00D80075">
        <w:t>The Commissioner</w:t>
      </w:r>
      <w:r w:rsidRPr="00D80075">
        <w:t xml:space="preserve"> will be required to borrow up to </w:t>
      </w:r>
      <w:r w:rsidRPr="00C87CE9">
        <w:t>£</w:t>
      </w:r>
      <w:r w:rsidR="00C87CE9" w:rsidRPr="00C87CE9">
        <w:t>65.359</w:t>
      </w:r>
      <w:r w:rsidR="0073359F" w:rsidRPr="00C87CE9">
        <w:t>m</w:t>
      </w:r>
      <w:r w:rsidRPr="00C87CE9">
        <w:t xml:space="preserve"> </w:t>
      </w:r>
      <w:r w:rsidRPr="00D80075">
        <w:t>over the forecast period.</w:t>
      </w:r>
    </w:p>
    <w:p w14:paraId="5C23EA88" w14:textId="7FAE0535" w:rsidR="00770E1C" w:rsidRPr="004A501B" w:rsidRDefault="00770E1C" w:rsidP="002D5343">
      <w:r w:rsidRPr="004A501B">
        <w:t xml:space="preserve">CIPFA’s Prudential Code for Capital Finance in Local Authorities recommends that the </w:t>
      </w:r>
      <w:r w:rsidR="00657EFA" w:rsidRPr="004A501B">
        <w:t>Commissioner</w:t>
      </w:r>
      <w:r w:rsidRPr="004A501B">
        <w:t>’s debt should be lower than its highest forecast CFR over the next three years.</w:t>
      </w:r>
    </w:p>
    <w:p w14:paraId="68E93C1F" w14:textId="34385DB7" w:rsidR="00770E1C" w:rsidRDefault="00770E1C" w:rsidP="002D5343">
      <w:r w:rsidRPr="004A501B">
        <w:t>Repayment premiums on</w:t>
      </w:r>
      <w:r w:rsidR="00723170">
        <w:t xml:space="preserve"> PWLB</w:t>
      </w:r>
      <w:r w:rsidRPr="004A501B">
        <w:t xml:space="preserve"> debts are prohibitive and therefore it is more cost effective to continue to</w:t>
      </w:r>
      <w:r w:rsidR="000C5B7B">
        <w:t xml:space="preserve"> pay</w:t>
      </w:r>
      <w:r w:rsidR="00F506A4">
        <w:t xml:space="preserve"> existing</w:t>
      </w:r>
      <w:r w:rsidRPr="004A501B">
        <w:t xml:space="preserve"> loans rather than pay them off early.  In addition, the </w:t>
      </w:r>
      <w:r w:rsidR="00657EFA" w:rsidRPr="004A501B">
        <w:t>Commissioner</w:t>
      </w:r>
      <w:r w:rsidRPr="004A501B">
        <w:t xml:space="preserve"> receives a grant contribution towards the costs of pre</w:t>
      </w:r>
      <w:r w:rsidR="00A70D7A">
        <w:t>-</w:t>
      </w:r>
      <w:r w:rsidRPr="004A501B">
        <w:t>1990 debt financing at 51% of the costs of the remaining notional interest payments and minimum revenue repayment.</w:t>
      </w:r>
      <w:r w:rsidR="00A70D7A">
        <w:t xml:space="preserve"> The current strategy remains to carry these loans to maturity.</w:t>
      </w:r>
    </w:p>
    <w:p w14:paraId="0DD1E154" w14:textId="38B35E8D" w:rsidR="00A50261" w:rsidRDefault="00A50261">
      <w:pPr>
        <w:spacing w:before="0" w:after="0" w:line="240" w:lineRule="auto"/>
      </w:pPr>
    </w:p>
    <w:p w14:paraId="56B44D7F" w14:textId="77777777" w:rsidR="00770E1C" w:rsidRPr="00B40D29" w:rsidRDefault="00770E1C" w:rsidP="00FB3AC0">
      <w:pPr>
        <w:pStyle w:val="Heading1"/>
        <w:ind w:hanging="720"/>
      </w:pPr>
      <w:r w:rsidRPr="00B40D29">
        <w:t>Borrowing Strategy</w:t>
      </w:r>
    </w:p>
    <w:p w14:paraId="5E0DF1FA" w14:textId="49099ADA" w:rsidR="00770E1C" w:rsidRPr="00B40D29" w:rsidRDefault="00E84EE7" w:rsidP="002D5343">
      <w:pPr>
        <w:rPr>
          <w:rFonts w:ascii="Trebuchet MS" w:hAnsi="Trebuchet MS"/>
        </w:rPr>
      </w:pPr>
      <w:r w:rsidRPr="00B40D29">
        <w:t>T</w:t>
      </w:r>
      <w:r w:rsidR="00770E1C" w:rsidRPr="00B40D29">
        <w:t xml:space="preserve">he </w:t>
      </w:r>
      <w:r w:rsidR="00657EFA" w:rsidRPr="00B40D29">
        <w:t>Commissioner</w:t>
      </w:r>
      <w:r w:rsidR="00770E1C" w:rsidRPr="00B40D29">
        <w:t xml:space="preserve"> currently </w:t>
      </w:r>
      <w:r w:rsidR="00770E1C" w:rsidRPr="00B7330F">
        <w:t>holds £</w:t>
      </w:r>
      <w:r w:rsidR="00532B62" w:rsidRPr="00B7330F">
        <w:t>1</w:t>
      </w:r>
      <w:r w:rsidR="00770E1C" w:rsidRPr="00B7330F">
        <w:t>.</w:t>
      </w:r>
      <w:r w:rsidR="00954462" w:rsidRPr="00B7330F">
        <w:t>12</w:t>
      </w:r>
      <w:r w:rsidR="00966D2A" w:rsidRPr="00B7330F">
        <w:t xml:space="preserve"> </w:t>
      </w:r>
      <w:r w:rsidR="00770E1C" w:rsidRPr="00B7330F">
        <w:t>million of</w:t>
      </w:r>
      <w:r w:rsidR="00A70D7A" w:rsidRPr="00B7330F">
        <w:t xml:space="preserve"> external</w:t>
      </w:r>
      <w:r w:rsidR="00770E1C" w:rsidRPr="00B7330F">
        <w:t xml:space="preserve"> loans, a decrease of £0.</w:t>
      </w:r>
      <w:r w:rsidR="00954462" w:rsidRPr="00B7330F">
        <w:t>26</w:t>
      </w:r>
      <w:r w:rsidR="00770E1C" w:rsidRPr="00B7330F">
        <w:t xml:space="preserve"> million</w:t>
      </w:r>
      <w:r w:rsidR="00770E1C" w:rsidRPr="00B40D29">
        <w:t xml:space="preserve"> on the previous year, as part of its strategy for funding previous years’ capital programmes.  </w:t>
      </w:r>
    </w:p>
    <w:p w14:paraId="5808F2CA" w14:textId="1ADC78A2" w:rsidR="00770E1C" w:rsidRPr="00B40D29" w:rsidRDefault="00770E1C" w:rsidP="002D5343">
      <w:r w:rsidRPr="00B40D29">
        <w:t xml:space="preserve">Given the significant cuts to public expenditure and </w:t>
      </w:r>
      <w:proofErr w:type="gramStart"/>
      <w:r w:rsidRPr="00B40D29">
        <w:t>in particular to</w:t>
      </w:r>
      <w:proofErr w:type="gramEnd"/>
      <w:r w:rsidRPr="00B40D29">
        <w:t xml:space="preserve"> local government funding, the </w:t>
      </w:r>
      <w:r w:rsidR="00657EFA" w:rsidRPr="00B40D29">
        <w:t>Commissioner</w:t>
      </w:r>
      <w:r w:rsidRPr="00B40D29">
        <w:t xml:space="preserve">’s borrowing strategy continues to address the key issue of affordability </w:t>
      </w:r>
      <w:r w:rsidRPr="00B40D29">
        <w:lastRenderedPageBreak/>
        <w:t xml:space="preserve">without compromising the longer-term stability of the debt portfolio. </w:t>
      </w:r>
      <w:r w:rsidR="00073FB1">
        <w:t xml:space="preserve">In line with </w:t>
      </w:r>
      <w:proofErr w:type="gramStart"/>
      <w:r w:rsidR="00073FB1">
        <w:t>advise</w:t>
      </w:r>
      <w:proofErr w:type="gramEnd"/>
      <w:r w:rsidR="00073FB1">
        <w:t xml:space="preserve"> from the Treasury Management Advisors, given that </w:t>
      </w:r>
      <w:r w:rsidRPr="00B40D29">
        <w:t xml:space="preserve">short-term interest rates </w:t>
      </w:r>
      <w:r w:rsidR="00073FB1">
        <w:t xml:space="preserve">are </w:t>
      </w:r>
      <w:r w:rsidRPr="00B40D29">
        <w:t>currently</w:t>
      </w:r>
      <w:r w:rsidR="00BE2882" w:rsidRPr="00B40D29">
        <w:t xml:space="preserve"> high, but predicted to </w:t>
      </w:r>
      <w:r w:rsidR="00073FB1">
        <w:t xml:space="preserve">reduce </w:t>
      </w:r>
      <w:r w:rsidR="00BE2882" w:rsidRPr="00B40D29">
        <w:t>in the near</w:t>
      </w:r>
      <w:r w:rsidR="00A24D2A" w:rsidRPr="00B40D29">
        <w:t>-</w:t>
      </w:r>
      <w:r w:rsidR="00BE2882" w:rsidRPr="00B40D29">
        <w:t>future, i</w:t>
      </w:r>
      <w:r w:rsidRPr="00B40D29">
        <w:t xml:space="preserve">t is </w:t>
      </w:r>
      <w:r w:rsidR="00BE2882" w:rsidRPr="00B40D29">
        <w:t xml:space="preserve">recommended </w:t>
      </w:r>
      <w:r w:rsidR="00073FB1">
        <w:t xml:space="preserve">that to utilise </w:t>
      </w:r>
      <w:r w:rsidRPr="00B40D29">
        <w:t>internal resources</w:t>
      </w:r>
      <w:r w:rsidR="00073FB1">
        <w:t xml:space="preserve"> where available</w:t>
      </w:r>
      <w:r w:rsidRPr="00B40D29">
        <w:t xml:space="preserve">, or to borrow </w:t>
      </w:r>
      <w:r w:rsidR="00A70D7A" w:rsidRPr="00B40D29">
        <w:t xml:space="preserve">using </w:t>
      </w:r>
      <w:r w:rsidRPr="00B40D29">
        <w:t xml:space="preserve">short-term loans.  </w:t>
      </w:r>
      <w:r w:rsidR="00BE2882" w:rsidRPr="00B40D29">
        <w:t xml:space="preserve">Longer dated debt should only be sought if absolute certainty on long-term rates is needed and deemed to be affordable, sustainable, and prudent </w:t>
      </w:r>
      <w:r w:rsidR="00073FB1">
        <w:t>at the</w:t>
      </w:r>
      <w:r w:rsidR="00BE2882" w:rsidRPr="00B40D29">
        <w:t xml:space="preserve"> prevailing </w:t>
      </w:r>
      <w:proofErr w:type="gramStart"/>
      <w:r w:rsidR="00073FB1">
        <w:t>rates.</w:t>
      </w:r>
      <w:r w:rsidR="00BE2882" w:rsidRPr="00B40D29">
        <w:t>.</w:t>
      </w:r>
      <w:proofErr w:type="gramEnd"/>
    </w:p>
    <w:p w14:paraId="12CEDAFA" w14:textId="77777777" w:rsidR="00E16BAD" w:rsidRPr="00B40D29" w:rsidRDefault="00E16BAD" w:rsidP="002D5343"/>
    <w:p w14:paraId="32DCFA14" w14:textId="6F53D7FD" w:rsidR="00770E1C" w:rsidRPr="00B40D29" w:rsidRDefault="00BE578E" w:rsidP="002D5343">
      <w:pPr>
        <w:rPr>
          <w:b/>
          <w:bCs/>
        </w:rPr>
      </w:pPr>
      <w:r w:rsidRPr="00B40D29">
        <w:rPr>
          <w:b/>
          <w:bCs/>
        </w:rPr>
        <w:t xml:space="preserve">3.1 </w:t>
      </w:r>
      <w:r w:rsidR="00770E1C" w:rsidRPr="00B40D29">
        <w:rPr>
          <w:b/>
          <w:bCs/>
        </w:rPr>
        <w:t>Sources</w:t>
      </w:r>
    </w:p>
    <w:p w14:paraId="6272A94E" w14:textId="77777777" w:rsidR="00770E1C" w:rsidRPr="00B40D29" w:rsidRDefault="00770E1C" w:rsidP="002D5343">
      <w:r w:rsidRPr="00B40D29">
        <w:t>The approved sources of long-term and short-term borrowing are:</w:t>
      </w:r>
    </w:p>
    <w:p w14:paraId="63D5FF95" w14:textId="77777777" w:rsidR="00770E1C" w:rsidRPr="00B40D29" w:rsidRDefault="00770E1C" w:rsidP="002D5343">
      <w:pPr>
        <w:pStyle w:val="ListParagraph"/>
        <w:numPr>
          <w:ilvl w:val="0"/>
          <w:numId w:val="22"/>
        </w:numPr>
      </w:pPr>
      <w:r w:rsidRPr="00B40D29">
        <w:t>Public Works Loan Board (PWLB) and any successor body</w:t>
      </w:r>
    </w:p>
    <w:p w14:paraId="23BAE6B3" w14:textId="50BACBE6" w:rsidR="00770E1C" w:rsidRPr="00B40D29" w:rsidRDefault="00770E1C" w:rsidP="002D5343">
      <w:pPr>
        <w:pStyle w:val="ListParagraph"/>
        <w:numPr>
          <w:ilvl w:val="0"/>
          <w:numId w:val="22"/>
        </w:numPr>
      </w:pPr>
      <w:r w:rsidRPr="00B40D29">
        <w:t xml:space="preserve">any institution approved for investments (see </w:t>
      </w:r>
      <w:r w:rsidR="00A70D7A" w:rsidRPr="00B40D29">
        <w:t>Section 4</w:t>
      </w:r>
      <w:r w:rsidRPr="00B40D29">
        <w:t>)</w:t>
      </w:r>
    </w:p>
    <w:p w14:paraId="54312643" w14:textId="77777777" w:rsidR="00770E1C" w:rsidRPr="00B40D29" w:rsidRDefault="00770E1C" w:rsidP="002D5343">
      <w:pPr>
        <w:pStyle w:val="ListParagraph"/>
        <w:numPr>
          <w:ilvl w:val="0"/>
          <w:numId w:val="22"/>
        </w:numPr>
      </w:pPr>
      <w:r w:rsidRPr="00B40D29">
        <w:t>any other bank or building society authorised to operate in the UK</w:t>
      </w:r>
    </w:p>
    <w:p w14:paraId="7C95ABE2" w14:textId="77777777" w:rsidR="00770E1C" w:rsidRPr="00B40D29" w:rsidRDefault="00770E1C" w:rsidP="002D5343">
      <w:pPr>
        <w:pStyle w:val="ListParagraph"/>
        <w:numPr>
          <w:ilvl w:val="0"/>
          <w:numId w:val="22"/>
        </w:numPr>
      </w:pPr>
      <w:r w:rsidRPr="00B40D29">
        <w:t>UK public and private sector pension funds (except Dyfed-Powys Pension Fund)</w:t>
      </w:r>
    </w:p>
    <w:p w14:paraId="14EFEB40" w14:textId="77777777" w:rsidR="00770E1C" w:rsidRPr="00B40D29" w:rsidRDefault="00770E1C" w:rsidP="002D5343">
      <w:pPr>
        <w:pStyle w:val="ListParagraph"/>
        <w:numPr>
          <w:ilvl w:val="0"/>
          <w:numId w:val="22"/>
        </w:numPr>
      </w:pPr>
      <w:r w:rsidRPr="00B40D29">
        <w:t>capital market bond investors</w:t>
      </w:r>
    </w:p>
    <w:p w14:paraId="5320AA53" w14:textId="77777777" w:rsidR="00770E1C" w:rsidRPr="00B40D29" w:rsidRDefault="00770E1C" w:rsidP="002D5343">
      <w:pPr>
        <w:pStyle w:val="ListParagraph"/>
        <w:numPr>
          <w:ilvl w:val="0"/>
          <w:numId w:val="22"/>
        </w:numPr>
      </w:pPr>
      <w:r w:rsidRPr="00B40D29">
        <w:t>Special purpose companies created to enable local authority bond issues</w:t>
      </w:r>
    </w:p>
    <w:p w14:paraId="27331536" w14:textId="7780A308" w:rsidR="00770E1C" w:rsidRPr="00B40D29" w:rsidRDefault="00770E1C" w:rsidP="002D5343">
      <w:r w:rsidRPr="00B40D29">
        <w:t>In addition, capital finance may be raised by the following methods that are not borrowing, but may be classed as other debt liabilities:</w:t>
      </w:r>
    </w:p>
    <w:p w14:paraId="6DC17109" w14:textId="77777777" w:rsidR="00770E1C" w:rsidRPr="00B40D29" w:rsidRDefault="00770E1C" w:rsidP="002D5343">
      <w:pPr>
        <w:pStyle w:val="ListParagraph"/>
        <w:numPr>
          <w:ilvl w:val="0"/>
          <w:numId w:val="22"/>
        </w:numPr>
      </w:pPr>
      <w:r w:rsidRPr="00B40D29">
        <w:t>operating and finance leases</w:t>
      </w:r>
    </w:p>
    <w:p w14:paraId="311A5DDB" w14:textId="77777777" w:rsidR="00770E1C" w:rsidRPr="00B40D29" w:rsidRDefault="00770E1C" w:rsidP="002D5343">
      <w:pPr>
        <w:pStyle w:val="ListParagraph"/>
        <w:numPr>
          <w:ilvl w:val="0"/>
          <w:numId w:val="22"/>
        </w:numPr>
      </w:pPr>
      <w:r w:rsidRPr="00B40D29">
        <w:t xml:space="preserve">hire purchase </w:t>
      </w:r>
    </w:p>
    <w:p w14:paraId="5B8F7080" w14:textId="3EE10B6F" w:rsidR="00770E1C" w:rsidRPr="00B40D29" w:rsidRDefault="00770E1C" w:rsidP="002D5343">
      <w:pPr>
        <w:pStyle w:val="ListParagraph"/>
        <w:numPr>
          <w:ilvl w:val="0"/>
          <w:numId w:val="22"/>
        </w:numPr>
      </w:pPr>
      <w:r w:rsidRPr="00B40D29">
        <w:t>sale and leaseback</w:t>
      </w:r>
    </w:p>
    <w:p w14:paraId="28DBC574" w14:textId="0FBE8688" w:rsidR="00770E1C" w:rsidRPr="00B40D29" w:rsidRDefault="00770E1C" w:rsidP="002D5343">
      <w:r w:rsidRPr="00B40D29">
        <w:t xml:space="preserve">The </w:t>
      </w:r>
      <w:r w:rsidR="00657EFA" w:rsidRPr="00B40D29">
        <w:t>Commissioner</w:t>
      </w:r>
      <w:r w:rsidRPr="00B40D29">
        <w:t xml:space="preserve"> has previously raised all of its long-term borrowing from the </w:t>
      </w:r>
      <w:proofErr w:type="gramStart"/>
      <w:r w:rsidRPr="00B40D29">
        <w:t>PWLB</w:t>
      </w:r>
      <w:proofErr w:type="gramEnd"/>
      <w:r w:rsidRPr="00B40D29">
        <w:t xml:space="preserve"> but it continues to investigate other sources of finance, such as local authority loans, that may be available at more favourable rates.</w:t>
      </w:r>
    </w:p>
    <w:p w14:paraId="3A06079D" w14:textId="77777777" w:rsidR="0017003A" w:rsidRPr="00B40D29" w:rsidRDefault="0017003A" w:rsidP="002D5343">
      <w:pPr>
        <w:rPr>
          <w:b/>
          <w:bCs/>
        </w:rPr>
      </w:pPr>
    </w:p>
    <w:p w14:paraId="1232BCA6" w14:textId="02E02CB6" w:rsidR="00770E1C" w:rsidRPr="00B40D29" w:rsidRDefault="00BE578E" w:rsidP="002D5343">
      <w:pPr>
        <w:rPr>
          <w:b/>
          <w:bCs/>
        </w:rPr>
      </w:pPr>
      <w:r w:rsidRPr="00B40D29">
        <w:rPr>
          <w:b/>
          <w:bCs/>
        </w:rPr>
        <w:t xml:space="preserve">3.2 </w:t>
      </w:r>
      <w:r w:rsidR="00770E1C" w:rsidRPr="00B40D29">
        <w:rPr>
          <w:b/>
          <w:bCs/>
        </w:rPr>
        <w:t>Debt rescheduling</w:t>
      </w:r>
    </w:p>
    <w:p w14:paraId="3F7BE70D" w14:textId="7B06DC53" w:rsidR="00770E1C" w:rsidRDefault="00770E1C" w:rsidP="002D5343">
      <w:r w:rsidRPr="00B40D29">
        <w:t xml:space="preserve">The PWLB allows the </w:t>
      </w:r>
      <w:r w:rsidR="00657EFA" w:rsidRPr="00B40D29">
        <w:t>Commissioner</w:t>
      </w:r>
      <w:r w:rsidRPr="00B40D29">
        <w:t xml:space="preserve"> to repay loans before maturity and either pay a premium or receive a discount according to as set formula based on current interest rates. Other lenders may also be prepared to negotiate premature redemption terms. The </w:t>
      </w:r>
      <w:r w:rsidR="00657EFA" w:rsidRPr="00B40D29">
        <w:t>Commissioner</w:t>
      </w:r>
      <w:r w:rsidRPr="00B40D29">
        <w:t xml:space="preserve"> may take advantage of this and replace some loans, with new loans, or repay loans without replacement, where this is expected to lead to an overall cost saving or a reduction in risk</w:t>
      </w:r>
      <w:r w:rsidR="002D357B" w:rsidRPr="00B40D29">
        <w:t>. This is unlikely to occur in the 2023/24 year as there is a large difference between premature redemption rates and new borrowing rates. However, if rescheduling is undertaken, it will be reported to Council.</w:t>
      </w:r>
      <w:r w:rsidR="002D357B">
        <w:t xml:space="preserve"> </w:t>
      </w:r>
    </w:p>
    <w:p w14:paraId="135B34A9" w14:textId="4AF7171B" w:rsidR="0017003A" w:rsidRDefault="0017003A">
      <w:pPr>
        <w:spacing w:before="0" w:after="0" w:line="240" w:lineRule="auto"/>
      </w:pPr>
    </w:p>
    <w:p w14:paraId="0F5BA0C9" w14:textId="77777777" w:rsidR="00770E1C" w:rsidRPr="00B40D29" w:rsidRDefault="00770E1C" w:rsidP="0017003A">
      <w:pPr>
        <w:pStyle w:val="Heading1"/>
        <w:ind w:hanging="720"/>
      </w:pPr>
      <w:r w:rsidRPr="00B40D29">
        <w:t>Investment Strategy</w:t>
      </w:r>
    </w:p>
    <w:p w14:paraId="4934084D" w14:textId="49D57759" w:rsidR="00770E1C" w:rsidRPr="00B40D29" w:rsidRDefault="00770E1C" w:rsidP="002D5343">
      <w:r w:rsidRPr="00B40D29">
        <w:t xml:space="preserve">The </w:t>
      </w:r>
      <w:r w:rsidR="00657EFA" w:rsidRPr="00B40D29">
        <w:t>Commissioner</w:t>
      </w:r>
      <w:r w:rsidRPr="00B40D29">
        <w:t xml:space="preserve"> </w:t>
      </w:r>
      <w:r w:rsidR="00954462" w:rsidRPr="00B40D29">
        <w:t xml:space="preserve">currently </w:t>
      </w:r>
      <w:r w:rsidRPr="00B40D29">
        <w:t xml:space="preserve">holds </w:t>
      </w:r>
      <w:r w:rsidR="00954462" w:rsidRPr="00C3125C">
        <w:t>£</w:t>
      </w:r>
      <w:r w:rsidR="00C3125C" w:rsidRPr="00C3125C">
        <w:t>6</w:t>
      </w:r>
      <w:r w:rsidR="00954462" w:rsidRPr="00C3125C">
        <w:t>.0m o</w:t>
      </w:r>
      <w:r w:rsidR="00954462" w:rsidRPr="00B40D29">
        <w:t xml:space="preserve">f </w:t>
      </w:r>
      <w:r w:rsidRPr="00B40D29">
        <w:t xml:space="preserve">invested funds, representing income received in advance of expenditure plus </w:t>
      </w:r>
      <w:r w:rsidR="00A70D7A" w:rsidRPr="00B40D29">
        <w:t>cash arising from held</w:t>
      </w:r>
      <w:r w:rsidR="00E16BAD" w:rsidRPr="00B40D29">
        <w:t xml:space="preserve"> </w:t>
      </w:r>
      <w:r w:rsidRPr="00B40D29">
        <w:t xml:space="preserve">reserves.  In the past 12 months, the </w:t>
      </w:r>
      <w:r w:rsidR="00657EFA" w:rsidRPr="00B40D29">
        <w:t>Commissioner</w:t>
      </w:r>
      <w:r w:rsidRPr="00B40D29">
        <w:t>’s investment balance has ranged between £</w:t>
      </w:r>
      <w:r w:rsidR="00954462" w:rsidRPr="00B40D29">
        <w:t>4</w:t>
      </w:r>
      <w:r w:rsidR="00532B62" w:rsidRPr="00B40D29">
        <w:t>m</w:t>
      </w:r>
      <w:r w:rsidRPr="00B40D29">
        <w:t xml:space="preserve"> and £</w:t>
      </w:r>
      <w:r w:rsidR="002F0B92" w:rsidRPr="00B40D29">
        <w:t>2</w:t>
      </w:r>
      <w:r w:rsidR="00954462" w:rsidRPr="00B40D29">
        <w:t>2</w:t>
      </w:r>
      <w:r w:rsidRPr="00B40D29">
        <w:t xml:space="preserve">m. Due to the </w:t>
      </w:r>
      <w:r w:rsidRPr="00B40D29">
        <w:lastRenderedPageBreak/>
        <w:t xml:space="preserve">utilisation of reserves to fund the capital programme investment balances are expected to reduce </w:t>
      </w:r>
      <w:r w:rsidR="00954462" w:rsidRPr="00B40D29">
        <w:t xml:space="preserve">significantly </w:t>
      </w:r>
      <w:r w:rsidRPr="00B40D29">
        <w:t xml:space="preserve">in </w:t>
      </w:r>
      <w:r w:rsidR="008C4190" w:rsidRPr="00B40D29">
        <w:t>202</w:t>
      </w:r>
      <w:r w:rsidR="00954462" w:rsidRPr="00B40D29">
        <w:t>3</w:t>
      </w:r>
      <w:r w:rsidRPr="00B40D29">
        <w:t>/</w:t>
      </w:r>
      <w:r w:rsidR="000C2467" w:rsidRPr="00B40D29">
        <w:t>2</w:t>
      </w:r>
      <w:r w:rsidR="00954462" w:rsidRPr="00B40D29">
        <w:t>4</w:t>
      </w:r>
      <w:r w:rsidRPr="00B40D29">
        <w:t>.</w:t>
      </w:r>
    </w:p>
    <w:p w14:paraId="428C22D1" w14:textId="4862080D" w:rsidR="00532B62" w:rsidRPr="00B40D29" w:rsidRDefault="00532B62" w:rsidP="002D5343">
      <w:r w:rsidRPr="00B40D29">
        <w:t>Loans to organisations providing local public services and purchases of investment property are not normally considered to be treasury investments</w:t>
      </w:r>
      <w:r w:rsidR="00EB4664" w:rsidRPr="00B40D29">
        <w:t>.</w:t>
      </w:r>
    </w:p>
    <w:p w14:paraId="3C8DC113" w14:textId="28B43160" w:rsidR="00532B62" w:rsidRPr="00B40D29" w:rsidRDefault="00770E1C" w:rsidP="002D5343">
      <w:pPr>
        <w:rPr>
          <w:color w:val="FF0000"/>
        </w:rPr>
      </w:pPr>
      <w:r w:rsidRPr="00B40D29">
        <w:rPr>
          <w:b/>
        </w:rPr>
        <w:t>Objectives</w:t>
      </w:r>
      <w:r w:rsidRPr="00B40D29">
        <w:t xml:space="preserve">: </w:t>
      </w:r>
      <w:r w:rsidR="00532B62" w:rsidRPr="00B40D29">
        <w:t>Both the CIPFA Code and the W</w:t>
      </w:r>
      <w:r w:rsidR="00F60530" w:rsidRPr="00B40D29">
        <w:t>elsh Government</w:t>
      </w:r>
      <w:r w:rsidR="00532B62" w:rsidRPr="00B40D29">
        <w:t xml:space="preserve"> Guidance require the </w:t>
      </w:r>
      <w:r w:rsidR="00AB6433" w:rsidRPr="00B40D29">
        <w:t>Commissioner</w:t>
      </w:r>
      <w:r w:rsidR="00532B62" w:rsidRPr="00B40D29">
        <w:t xml:space="preserve"> to invest treasury funds prudently, and to have regard to the security and liquidity of its investments before seeking the highest rate of return or yield. The </w:t>
      </w:r>
      <w:r w:rsidR="00F60530" w:rsidRPr="00B40D29">
        <w:t xml:space="preserve">Commissioner’s </w:t>
      </w:r>
      <w:r w:rsidR="00532B62" w:rsidRPr="00B40D29">
        <w:t xml:space="preserve">objective when investing money is to strike an appropriate balance between risk and return, minimising the risk of incurring losses from defaults and the risk of receiving unsuitably low investment income. Where balances are expected to be invested for more than one year, the </w:t>
      </w:r>
      <w:r w:rsidR="00F60530" w:rsidRPr="00B40D29">
        <w:t xml:space="preserve">Commissioner </w:t>
      </w:r>
      <w:r w:rsidR="00532B62" w:rsidRPr="00B40D29">
        <w:t xml:space="preserve">will aim to achieve a total return that is equal or higher than the prevailing rate of inflation, </w:t>
      </w:r>
      <w:proofErr w:type="gramStart"/>
      <w:r w:rsidR="00532B62" w:rsidRPr="00B40D29">
        <w:t>in order to</w:t>
      </w:r>
      <w:proofErr w:type="gramEnd"/>
      <w:r w:rsidR="00532B62" w:rsidRPr="00B40D29">
        <w:t xml:space="preserve"> maintain the spending power of the sum invested</w:t>
      </w:r>
      <w:r w:rsidR="00532B62" w:rsidRPr="00B40D29">
        <w:rPr>
          <w:color w:val="FF0000"/>
        </w:rPr>
        <w:t>.</w:t>
      </w:r>
    </w:p>
    <w:p w14:paraId="478B8050" w14:textId="56EB2F8F" w:rsidR="00532B62" w:rsidRPr="00B40D29" w:rsidRDefault="00770E1C" w:rsidP="002D5343">
      <w:r w:rsidRPr="00B40D29">
        <w:rPr>
          <w:b/>
        </w:rPr>
        <w:t xml:space="preserve">Negative interest rates: </w:t>
      </w:r>
      <w:r w:rsidR="008C4190" w:rsidRPr="00B40D29">
        <w:t>The C</w:t>
      </w:r>
      <w:r w:rsidR="00AB6433" w:rsidRPr="00B40D29">
        <w:t>ovid</w:t>
      </w:r>
      <w:r w:rsidR="008C4190" w:rsidRPr="00B40D29">
        <w:t>-19 pandemic increased the risk that the Bank of England w</w:t>
      </w:r>
      <w:r w:rsidR="00954462" w:rsidRPr="00B40D29">
        <w:t>ould</w:t>
      </w:r>
      <w:r w:rsidR="008C4190" w:rsidRPr="00B40D29">
        <w:t xml:space="preserve"> set its Bank Rate at or below zero, which </w:t>
      </w:r>
      <w:r w:rsidR="002F0B92" w:rsidRPr="00B40D29">
        <w:t xml:space="preserve">could </w:t>
      </w:r>
      <w:r w:rsidR="00954462" w:rsidRPr="00B40D29">
        <w:t xml:space="preserve">have </w:t>
      </w:r>
      <w:r w:rsidR="008C4190" w:rsidRPr="00B40D29">
        <w:t xml:space="preserve">fed through to negative interest rates on all low risk, short-term investment options. Since investments cannot pay negative income, negative rates </w:t>
      </w:r>
      <w:r w:rsidR="00954462" w:rsidRPr="00B40D29">
        <w:t>would have been</w:t>
      </w:r>
      <w:r w:rsidR="008C4190" w:rsidRPr="00B40D29">
        <w:t xml:space="preserve"> applied by reducing the value of investments. In </w:t>
      </w:r>
      <w:r w:rsidR="00954462" w:rsidRPr="00B40D29">
        <w:t xml:space="preserve">such an </w:t>
      </w:r>
      <w:r w:rsidR="008C4190" w:rsidRPr="00B40D29">
        <w:t>event, security w</w:t>
      </w:r>
      <w:r w:rsidR="00954462" w:rsidRPr="00B40D29">
        <w:t>ould</w:t>
      </w:r>
      <w:r w:rsidR="008C4190" w:rsidRPr="00B40D29">
        <w:t xml:space="preserve"> be measured as receiving the contractually agreed amount at maturity, even though this may be less than the amount originally invested.</w:t>
      </w:r>
      <w:r w:rsidR="002F0B92" w:rsidRPr="00B40D29">
        <w:t xml:space="preserve"> </w:t>
      </w:r>
      <w:r w:rsidR="009A4A28" w:rsidRPr="00B40D29">
        <w:t xml:space="preserve">Due to the current economic challenges, Bank of England interest rates are </w:t>
      </w:r>
      <w:proofErr w:type="gramStart"/>
      <w:r w:rsidR="009A4A28" w:rsidRPr="00B40D29">
        <w:t>rising</w:t>
      </w:r>
      <w:proofErr w:type="gramEnd"/>
      <w:r w:rsidR="009A4A28" w:rsidRPr="00B40D29">
        <w:t xml:space="preserve"> and the likelihood of negative interest rates is significantly low.</w:t>
      </w:r>
    </w:p>
    <w:p w14:paraId="6C105B15" w14:textId="5557B053" w:rsidR="00770E1C" w:rsidRDefault="00770E1C" w:rsidP="002D5343">
      <w:r w:rsidRPr="00B40D29">
        <w:rPr>
          <w:b/>
        </w:rPr>
        <w:t xml:space="preserve">Strategy: </w:t>
      </w:r>
      <w:r w:rsidR="00F60530" w:rsidRPr="00B40D29">
        <w:rPr>
          <w:bCs/>
        </w:rPr>
        <w:t xml:space="preserve">The Commissioner’s priorities are Security, Liquidity then Yield. Investments will be made first so that they are secure meaning the risk of capital loss is minimised. Next the Commissioner will maintain Liquidity to meet the demands of the Capital Programme and maintain sufficient working capital to meet operational debts as they fall due. Then, as far as possible the Commissioner </w:t>
      </w:r>
      <w:r w:rsidRPr="00B40D29">
        <w:t xml:space="preserve">aims to </w:t>
      </w:r>
      <w:r w:rsidR="00F60530" w:rsidRPr="00B40D29">
        <w:t>invest in the highest</w:t>
      </w:r>
      <w:r w:rsidRPr="00B40D29">
        <w:t xml:space="preserve"> yielding asset class </w:t>
      </w:r>
      <w:r w:rsidR="00F60530" w:rsidRPr="00B40D29">
        <w:t xml:space="preserve">available. </w:t>
      </w:r>
      <w:r w:rsidRPr="00B40D29">
        <w:t xml:space="preserve">This </w:t>
      </w:r>
      <w:r w:rsidR="00F60530" w:rsidRPr="00B40D29">
        <w:t xml:space="preserve">is a modification for the </w:t>
      </w:r>
      <w:r w:rsidRPr="00B40D29">
        <w:t xml:space="preserve">strategy </w:t>
      </w:r>
      <w:r w:rsidR="002F0B92" w:rsidRPr="00B40D29">
        <w:t xml:space="preserve">first </w:t>
      </w:r>
      <w:r w:rsidRPr="00B40D29">
        <w:t>adopted in 201</w:t>
      </w:r>
      <w:r w:rsidR="00532B62" w:rsidRPr="00B40D29">
        <w:t>9</w:t>
      </w:r>
      <w:r w:rsidRPr="00B40D29">
        <w:t>/</w:t>
      </w:r>
      <w:r w:rsidR="00532B62" w:rsidRPr="00B40D29">
        <w:t>20</w:t>
      </w:r>
      <w:r w:rsidR="00F60530" w:rsidRPr="00B40D29">
        <w:t xml:space="preserve"> where investment in highest yielding assets was preferred. This change reflects the reducing capital reserves, minimal availability of capital grants and capital receipts and need to utilise internal borrowing.</w:t>
      </w:r>
    </w:p>
    <w:p w14:paraId="20145292" w14:textId="6F569802" w:rsidR="0011422F" w:rsidRPr="00073FB1" w:rsidRDefault="0011422F" w:rsidP="002D5343">
      <w:pPr>
        <w:rPr>
          <w:b/>
          <w:bCs/>
        </w:rPr>
      </w:pPr>
      <w:r w:rsidRPr="00073FB1">
        <w:rPr>
          <w:b/>
          <w:bCs/>
        </w:rPr>
        <w:t>Other Guiding Principles as per CIPFA Code of Practice:</w:t>
      </w:r>
    </w:p>
    <w:p w14:paraId="4BA08402" w14:textId="77777777" w:rsidR="0011422F" w:rsidRPr="00B40D29" w:rsidRDefault="0011422F" w:rsidP="0011422F">
      <w:pPr>
        <w:pStyle w:val="ListParagraph"/>
        <w:numPr>
          <w:ilvl w:val="0"/>
          <w:numId w:val="38"/>
        </w:numPr>
        <w:spacing w:before="0" w:after="240"/>
        <w:rPr>
          <w:rFonts w:eastAsia="Times New Roman" w:cs="Times New Roman"/>
          <w:spacing w:val="-5"/>
          <w:szCs w:val="20"/>
        </w:rPr>
      </w:pPr>
      <w:r w:rsidRPr="00B40D29">
        <w:rPr>
          <w:rFonts w:eastAsia="Times New Roman" w:cs="Times New Roman"/>
          <w:spacing w:val="-5"/>
          <w:szCs w:val="20"/>
        </w:rPr>
        <w:t>An authority must not borrow to invest for the primary purpose of commercial return</w:t>
      </w:r>
    </w:p>
    <w:p w14:paraId="67F515C5" w14:textId="7B26D3D9" w:rsidR="0011422F" w:rsidRDefault="0011422F" w:rsidP="0011422F">
      <w:pPr>
        <w:pStyle w:val="ListParagraph"/>
        <w:numPr>
          <w:ilvl w:val="0"/>
          <w:numId w:val="38"/>
        </w:numPr>
        <w:spacing w:before="0" w:after="240"/>
        <w:rPr>
          <w:rFonts w:eastAsia="Times New Roman" w:cs="Times New Roman"/>
          <w:spacing w:val="-5"/>
          <w:szCs w:val="20"/>
        </w:rPr>
      </w:pPr>
      <w:r w:rsidRPr="00B40D29">
        <w:rPr>
          <w:rFonts w:eastAsia="Times New Roman" w:cs="Times New Roman"/>
          <w:spacing w:val="-5"/>
          <w:szCs w:val="20"/>
        </w:rPr>
        <w:t>It is not prudent for local authorities to make any investment or spending decision that will increase the CFR, and so may lead to new borrowing, unless directly and primarily related to the functions of the authority, and where any commercial returns are either related to the financial viability of the project in question or otherwise incidental to the primary purpose</w:t>
      </w:r>
    </w:p>
    <w:p w14:paraId="01B84821" w14:textId="77777777" w:rsidR="00A01D3D" w:rsidRPr="00B40D29" w:rsidRDefault="00A01D3D" w:rsidP="00A01D3D">
      <w:pPr>
        <w:pStyle w:val="ListParagraph"/>
        <w:numPr>
          <w:ilvl w:val="0"/>
          <w:numId w:val="38"/>
        </w:numPr>
        <w:rPr>
          <w:rFonts w:eastAsia="Times New Roman" w:cs="Times New Roman"/>
          <w:spacing w:val="-5"/>
          <w:szCs w:val="20"/>
        </w:rPr>
      </w:pPr>
      <w:r w:rsidRPr="00B40D29">
        <w:rPr>
          <w:rFonts w:eastAsia="Times New Roman" w:cs="Times New Roman"/>
          <w:spacing w:val="-5"/>
          <w:szCs w:val="20"/>
        </w:rPr>
        <w:t xml:space="preserve">The risks associated with service and commercial investments should be proportionate to their financial capacity – </w:t>
      </w:r>
      <w:proofErr w:type="gramStart"/>
      <w:r w:rsidRPr="00B40D29">
        <w:rPr>
          <w:rFonts w:eastAsia="Times New Roman" w:cs="Times New Roman"/>
          <w:spacing w:val="-5"/>
          <w:szCs w:val="20"/>
        </w:rPr>
        <w:t>i.e.</w:t>
      </w:r>
      <w:proofErr w:type="gramEnd"/>
      <w:r w:rsidRPr="00B40D29">
        <w:rPr>
          <w:rFonts w:eastAsia="Times New Roman" w:cs="Times New Roman"/>
          <w:spacing w:val="-5"/>
          <w:szCs w:val="20"/>
        </w:rPr>
        <w:t xml:space="preserve"> that plausible losses could be absorbed in budgets or reserves without unmanageable detriment to local services</w:t>
      </w:r>
    </w:p>
    <w:p w14:paraId="405106A0" w14:textId="77777777" w:rsidR="0011422F" w:rsidRPr="00B40D29" w:rsidRDefault="0011422F" w:rsidP="0011422F">
      <w:pPr>
        <w:pStyle w:val="ListParagraph"/>
        <w:numPr>
          <w:ilvl w:val="0"/>
          <w:numId w:val="38"/>
        </w:numPr>
        <w:rPr>
          <w:rFonts w:eastAsia="Times New Roman" w:cs="Times New Roman"/>
          <w:spacing w:val="-5"/>
          <w:szCs w:val="20"/>
        </w:rPr>
      </w:pPr>
      <w:r w:rsidRPr="00B40D29">
        <w:rPr>
          <w:rFonts w:eastAsia="Times New Roman" w:cs="Times New Roman"/>
          <w:spacing w:val="-5"/>
          <w:szCs w:val="20"/>
        </w:rPr>
        <w:t>An annual review should be conducted to evaluate whether commercial investments should be sold to release funds to finance new capital expenditure or refinance maturing debt</w:t>
      </w:r>
    </w:p>
    <w:p w14:paraId="68127019" w14:textId="77777777" w:rsidR="0011422F" w:rsidRPr="00B40D29" w:rsidRDefault="0011422F" w:rsidP="002D5343"/>
    <w:p w14:paraId="7164E157" w14:textId="77777777" w:rsidR="000C5B7B" w:rsidRDefault="000C5B7B" w:rsidP="002D5343">
      <w:pPr>
        <w:rPr>
          <w:b/>
          <w:bCs/>
        </w:rPr>
      </w:pPr>
    </w:p>
    <w:p w14:paraId="4A8331D5" w14:textId="7F32A7AE" w:rsidR="00770E1C" w:rsidRPr="00B40D29" w:rsidRDefault="00BE578E" w:rsidP="002D5343">
      <w:pPr>
        <w:rPr>
          <w:b/>
          <w:bCs/>
        </w:rPr>
      </w:pPr>
      <w:r w:rsidRPr="00B40D29">
        <w:rPr>
          <w:b/>
          <w:bCs/>
        </w:rPr>
        <w:t xml:space="preserve">4.1 </w:t>
      </w:r>
      <w:r w:rsidR="00770E1C" w:rsidRPr="00B40D29">
        <w:rPr>
          <w:b/>
          <w:bCs/>
        </w:rPr>
        <w:t>Approved Counterparties</w:t>
      </w:r>
    </w:p>
    <w:p w14:paraId="261BA64D" w14:textId="7B9CB77B" w:rsidR="00770E1C" w:rsidRPr="00B40D29" w:rsidRDefault="00770E1C" w:rsidP="002D5343">
      <w:pPr>
        <w:rPr>
          <w:color w:val="FF0000"/>
        </w:rPr>
      </w:pPr>
      <w:r w:rsidRPr="00B40D29">
        <w:t xml:space="preserve">The </w:t>
      </w:r>
      <w:r w:rsidR="00657EFA" w:rsidRPr="00B40D29">
        <w:t>Commissioner</w:t>
      </w:r>
      <w:r w:rsidRPr="00B40D29">
        <w:t xml:space="preserve"> may invest its surplus funds with any of the counterparty types in table </w:t>
      </w:r>
      <w:r w:rsidR="00607EFC" w:rsidRPr="00B40D29">
        <w:t>3</w:t>
      </w:r>
      <w:r w:rsidRPr="00B40D29">
        <w:t xml:space="preserve"> below, subject to the cash limits (per counterparty) and the time limits shown.</w:t>
      </w:r>
    </w:p>
    <w:p w14:paraId="0DC79D5C" w14:textId="77777777" w:rsidR="00770E1C" w:rsidRPr="00B40D29" w:rsidRDefault="00770E1C" w:rsidP="002D5343">
      <w:r w:rsidRPr="00B40D29">
        <w:t>The combined secured and unsecured investments in any one bank will not exceed the cash limit for secured investments.</w:t>
      </w:r>
    </w:p>
    <w:p w14:paraId="27C4E78F" w14:textId="0A9B0CC8" w:rsidR="00E16BAD" w:rsidRPr="00B40D29" w:rsidRDefault="00770E1C" w:rsidP="003C36D7">
      <w:pPr>
        <w:spacing w:before="0" w:after="0"/>
        <w:rPr>
          <w:color w:val="FF0000"/>
        </w:rPr>
      </w:pPr>
      <w:r w:rsidRPr="00B40D29">
        <w:t xml:space="preserve">Counterparty limits will be reviewed on a quarterly basis and will be amended if </w:t>
      </w:r>
      <w:proofErr w:type="gramStart"/>
      <w:r w:rsidRPr="00B40D29">
        <w:t>necessary</w:t>
      </w:r>
      <w:proofErr w:type="gramEnd"/>
      <w:r w:rsidRPr="00B40D29">
        <w:t xml:space="preserve"> dependent on investment balances</w:t>
      </w:r>
      <w:r w:rsidRPr="00B40D29">
        <w:rPr>
          <w:color w:val="FF0000"/>
        </w:rPr>
        <w:t>.</w:t>
      </w:r>
    </w:p>
    <w:p w14:paraId="076F0304" w14:textId="77777777" w:rsidR="006614F9" w:rsidRPr="00B40D29" w:rsidRDefault="006614F9" w:rsidP="00F60530">
      <w:pPr>
        <w:spacing w:before="0" w:after="0" w:line="240" w:lineRule="auto"/>
      </w:pPr>
    </w:p>
    <w:p w14:paraId="507E674D" w14:textId="77777777" w:rsidR="000C5B7B" w:rsidRDefault="000C5B7B" w:rsidP="00F60530">
      <w:pPr>
        <w:spacing w:before="0" w:after="0" w:line="240" w:lineRule="auto"/>
      </w:pPr>
    </w:p>
    <w:p w14:paraId="36FECD09" w14:textId="7BD25E73" w:rsidR="00770E1C" w:rsidRPr="00B40D29" w:rsidRDefault="00770E1C" w:rsidP="00F60530">
      <w:pPr>
        <w:spacing w:before="0" w:after="0" w:line="240" w:lineRule="auto"/>
      </w:pPr>
      <w:r w:rsidRPr="00B40D29">
        <w:t xml:space="preserve">Table </w:t>
      </w:r>
      <w:r w:rsidR="00607EFC" w:rsidRPr="00B40D29">
        <w:t>3</w:t>
      </w:r>
      <w:r w:rsidRPr="00B40D29">
        <w:t>: Approved Investment Counterparties and Limits</w:t>
      </w:r>
    </w:p>
    <w:p w14:paraId="641F415C" w14:textId="77777777" w:rsidR="0012320E" w:rsidRPr="00D437D2" w:rsidRDefault="0012320E" w:rsidP="003C36D7">
      <w:pPr>
        <w:spacing w:before="0" w:after="0" w:line="240" w:lineRule="auto"/>
        <w:rPr>
          <w:highlight w:val="green"/>
        </w:rPr>
      </w:pPr>
    </w:p>
    <w:tbl>
      <w:tblPr>
        <w:tblStyle w:val="GridTable4-Accent1"/>
        <w:tblW w:w="7938" w:type="dxa"/>
        <w:tblInd w:w="137" w:type="dxa"/>
        <w:tblLook w:val="04A0" w:firstRow="1" w:lastRow="0" w:firstColumn="1" w:lastColumn="0" w:noHBand="0" w:noVBand="1"/>
      </w:tblPr>
      <w:tblGrid>
        <w:gridCol w:w="2835"/>
        <w:gridCol w:w="1559"/>
        <w:gridCol w:w="1843"/>
        <w:gridCol w:w="1701"/>
      </w:tblGrid>
      <w:tr w:rsidR="00A4740B" w:rsidRPr="00D437D2" w14:paraId="48263E78" w14:textId="77777777" w:rsidTr="003C36D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14:paraId="1777BA36" w14:textId="77777777" w:rsidR="00A4740B" w:rsidRPr="00B40D29" w:rsidRDefault="00A4740B">
            <w:pPr>
              <w:rPr>
                <w:sz w:val="20"/>
                <w:szCs w:val="20"/>
              </w:rPr>
            </w:pPr>
            <w:r w:rsidRPr="00B40D29">
              <w:rPr>
                <w:sz w:val="20"/>
                <w:szCs w:val="20"/>
              </w:rPr>
              <w:t>Sector</w:t>
            </w:r>
          </w:p>
        </w:tc>
        <w:tc>
          <w:tcPr>
            <w:tcW w:w="0" w:type="dxa"/>
          </w:tcPr>
          <w:p w14:paraId="672F57B2" w14:textId="77777777" w:rsidR="00A4740B" w:rsidRPr="00B40D29" w:rsidRDefault="00A4740B">
            <w:pPr>
              <w:cnfStyle w:val="100000000000" w:firstRow="1" w:lastRow="0" w:firstColumn="0" w:lastColumn="0" w:oddVBand="0" w:evenVBand="0" w:oddHBand="0" w:evenHBand="0" w:firstRowFirstColumn="0" w:firstRowLastColumn="0" w:lastRowFirstColumn="0" w:lastRowLastColumn="0"/>
              <w:rPr>
                <w:sz w:val="20"/>
                <w:szCs w:val="20"/>
              </w:rPr>
            </w:pPr>
            <w:r w:rsidRPr="00B40D29">
              <w:rPr>
                <w:sz w:val="20"/>
                <w:szCs w:val="20"/>
              </w:rPr>
              <w:t>Time limit</w:t>
            </w:r>
          </w:p>
        </w:tc>
        <w:tc>
          <w:tcPr>
            <w:tcW w:w="0" w:type="dxa"/>
          </w:tcPr>
          <w:p w14:paraId="1E443CB4" w14:textId="77777777" w:rsidR="00A4740B" w:rsidRPr="00B40D29" w:rsidRDefault="00A4740B">
            <w:pPr>
              <w:cnfStyle w:val="100000000000" w:firstRow="1" w:lastRow="0" w:firstColumn="0" w:lastColumn="0" w:oddVBand="0" w:evenVBand="0" w:oddHBand="0" w:evenHBand="0" w:firstRowFirstColumn="0" w:firstRowLastColumn="0" w:lastRowFirstColumn="0" w:lastRowLastColumn="0"/>
              <w:rPr>
                <w:sz w:val="20"/>
                <w:szCs w:val="20"/>
              </w:rPr>
            </w:pPr>
            <w:r w:rsidRPr="00B40D29">
              <w:rPr>
                <w:sz w:val="20"/>
                <w:szCs w:val="20"/>
              </w:rPr>
              <w:t>Counterparty limit</w:t>
            </w:r>
          </w:p>
        </w:tc>
        <w:tc>
          <w:tcPr>
            <w:tcW w:w="0" w:type="dxa"/>
          </w:tcPr>
          <w:p w14:paraId="3AD99497" w14:textId="77777777" w:rsidR="00A4740B" w:rsidRPr="00B40D29" w:rsidRDefault="00A4740B">
            <w:pPr>
              <w:cnfStyle w:val="100000000000" w:firstRow="1" w:lastRow="0" w:firstColumn="0" w:lastColumn="0" w:oddVBand="0" w:evenVBand="0" w:oddHBand="0" w:evenHBand="0" w:firstRowFirstColumn="0" w:firstRowLastColumn="0" w:lastRowFirstColumn="0" w:lastRowLastColumn="0"/>
              <w:rPr>
                <w:sz w:val="20"/>
                <w:szCs w:val="20"/>
              </w:rPr>
            </w:pPr>
            <w:r w:rsidRPr="00B40D29">
              <w:rPr>
                <w:sz w:val="20"/>
                <w:szCs w:val="20"/>
              </w:rPr>
              <w:t>Sector limit</w:t>
            </w:r>
          </w:p>
        </w:tc>
      </w:tr>
      <w:tr w:rsidR="00A4740B" w:rsidRPr="00D437D2" w14:paraId="1124C2DC" w14:textId="77777777" w:rsidTr="00A474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E3764B8" w14:textId="77777777" w:rsidR="00A4740B" w:rsidRPr="00B40D29" w:rsidRDefault="00A4740B" w:rsidP="002D5343">
            <w:pPr>
              <w:rPr>
                <w:b w:val="0"/>
                <w:bCs w:val="0"/>
                <w:sz w:val="20"/>
                <w:szCs w:val="20"/>
              </w:rPr>
            </w:pPr>
            <w:r w:rsidRPr="00B40D29">
              <w:rPr>
                <w:sz w:val="20"/>
                <w:szCs w:val="20"/>
              </w:rPr>
              <w:t>The UK Government</w:t>
            </w:r>
          </w:p>
        </w:tc>
        <w:tc>
          <w:tcPr>
            <w:tcW w:w="1559" w:type="dxa"/>
            <w:vAlign w:val="center"/>
          </w:tcPr>
          <w:p w14:paraId="2E1FF2F6"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50 years</w:t>
            </w:r>
          </w:p>
        </w:tc>
        <w:tc>
          <w:tcPr>
            <w:tcW w:w="1843" w:type="dxa"/>
            <w:vAlign w:val="center"/>
          </w:tcPr>
          <w:p w14:paraId="1AB8949F"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Unlimited</w:t>
            </w:r>
          </w:p>
        </w:tc>
        <w:tc>
          <w:tcPr>
            <w:tcW w:w="1701" w:type="dxa"/>
            <w:vAlign w:val="center"/>
          </w:tcPr>
          <w:p w14:paraId="362A55A7"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Unlimited</w:t>
            </w:r>
          </w:p>
        </w:tc>
      </w:tr>
      <w:tr w:rsidR="00A4740B" w:rsidRPr="00D437D2" w14:paraId="5A0B46AC" w14:textId="77777777" w:rsidTr="00A4740B">
        <w:trPr>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A542792" w14:textId="77777777" w:rsidR="00A4740B" w:rsidRPr="00B40D29" w:rsidRDefault="00A4740B" w:rsidP="002D5343">
            <w:pPr>
              <w:rPr>
                <w:b w:val="0"/>
                <w:bCs w:val="0"/>
                <w:sz w:val="20"/>
                <w:szCs w:val="20"/>
              </w:rPr>
            </w:pPr>
            <w:r w:rsidRPr="00B40D29">
              <w:rPr>
                <w:sz w:val="20"/>
                <w:szCs w:val="20"/>
              </w:rPr>
              <w:t>Local authorities &amp; other government entities</w:t>
            </w:r>
          </w:p>
        </w:tc>
        <w:tc>
          <w:tcPr>
            <w:tcW w:w="1559" w:type="dxa"/>
            <w:vAlign w:val="center"/>
          </w:tcPr>
          <w:p w14:paraId="197EE7FB" w14:textId="77777777" w:rsidR="00A4740B" w:rsidRPr="00B40D29" w:rsidRDefault="00A4740B"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25 years</w:t>
            </w:r>
          </w:p>
        </w:tc>
        <w:tc>
          <w:tcPr>
            <w:tcW w:w="1843" w:type="dxa"/>
            <w:vAlign w:val="center"/>
          </w:tcPr>
          <w:p w14:paraId="349636CA" w14:textId="77777777" w:rsidR="00A4740B" w:rsidRPr="00B40D29" w:rsidRDefault="00A4740B" w:rsidP="002D5343">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B40D29">
              <w:rPr>
                <w:sz w:val="20"/>
                <w:szCs w:val="20"/>
              </w:rPr>
              <w:t>£3m</w:t>
            </w:r>
          </w:p>
        </w:tc>
        <w:tc>
          <w:tcPr>
            <w:tcW w:w="1701" w:type="dxa"/>
            <w:vAlign w:val="center"/>
          </w:tcPr>
          <w:p w14:paraId="01C0BC7A" w14:textId="77777777" w:rsidR="00A4740B" w:rsidRPr="00B40D29" w:rsidRDefault="00A4740B"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Unlimited</w:t>
            </w:r>
          </w:p>
        </w:tc>
      </w:tr>
      <w:tr w:rsidR="00A4740B" w:rsidRPr="00D437D2" w14:paraId="3FFEC95A" w14:textId="77777777" w:rsidTr="00A474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DA310B8" w14:textId="77777777" w:rsidR="00A4740B" w:rsidRPr="00B40D29" w:rsidRDefault="00A4740B" w:rsidP="002D5343">
            <w:pPr>
              <w:rPr>
                <w:b w:val="0"/>
                <w:bCs w:val="0"/>
                <w:sz w:val="20"/>
                <w:szCs w:val="20"/>
              </w:rPr>
            </w:pPr>
            <w:r w:rsidRPr="00B40D29">
              <w:rPr>
                <w:sz w:val="20"/>
                <w:szCs w:val="20"/>
              </w:rPr>
              <w:t>Secured investments *</w:t>
            </w:r>
          </w:p>
        </w:tc>
        <w:tc>
          <w:tcPr>
            <w:tcW w:w="1559" w:type="dxa"/>
            <w:vAlign w:val="center"/>
          </w:tcPr>
          <w:p w14:paraId="73C56AB0"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25 years</w:t>
            </w:r>
          </w:p>
        </w:tc>
        <w:tc>
          <w:tcPr>
            <w:tcW w:w="1843" w:type="dxa"/>
            <w:vAlign w:val="center"/>
          </w:tcPr>
          <w:p w14:paraId="779AC7E9"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£3m</w:t>
            </w:r>
          </w:p>
        </w:tc>
        <w:tc>
          <w:tcPr>
            <w:tcW w:w="1701" w:type="dxa"/>
            <w:vAlign w:val="center"/>
          </w:tcPr>
          <w:p w14:paraId="07F43E18"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Unlimited</w:t>
            </w:r>
          </w:p>
        </w:tc>
      </w:tr>
      <w:tr w:rsidR="00A4740B" w:rsidRPr="00D437D2" w14:paraId="6F7A6E55" w14:textId="77777777" w:rsidTr="00A4740B">
        <w:trPr>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C7F6919" w14:textId="77777777" w:rsidR="00A4740B" w:rsidRPr="00B40D29" w:rsidRDefault="00A4740B" w:rsidP="002D5343">
            <w:pPr>
              <w:rPr>
                <w:b w:val="0"/>
                <w:bCs w:val="0"/>
                <w:sz w:val="20"/>
                <w:szCs w:val="20"/>
              </w:rPr>
            </w:pPr>
            <w:r w:rsidRPr="00B40D29">
              <w:rPr>
                <w:sz w:val="20"/>
                <w:szCs w:val="20"/>
              </w:rPr>
              <w:t>Banks (unsecured) *</w:t>
            </w:r>
          </w:p>
        </w:tc>
        <w:tc>
          <w:tcPr>
            <w:tcW w:w="1559" w:type="dxa"/>
            <w:vAlign w:val="center"/>
          </w:tcPr>
          <w:p w14:paraId="2EEFB109" w14:textId="77777777" w:rsidR="00A4740B" w:rsidRPr="00B40D29" w:rsidRDefault="00A4740B"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13 months</w:t>
            </w:r>
          </w:p>
        </w:tc>
        <w:tc>
          <w:tcPr>
            <w:tcW w:w="1843" w:type="dxa"/>
            <w:vAlign w:val="center"/>
          </w:tcPr>
          <w:p w14:paraId="3C676EA7" w14:textId="77777777" w:rsidR="00A4740B" w:rsidRPr="00B40D29" w:rsidRDefault="00A4740B"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£2m</w:t>
            </w:r>
          </w:p>
        </w:tc>
        <w:tc>
          <w:tcPr>
            <w:tcW w:w="1701" w:type="dxa"/>
            <w:vAlign w:val="center"/>
          </w:tcPr>
          <w:p w14:paraId="670CC1F9" w14:textId="77777777" w:rsidR="00A4740B" w:rsidRPr="00B40D29" w:rsidRDefault="00A4740B"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Unlimited</w:t>
            </w:r>
          </w:p>
        </w:tc>
      </w:tr>
      <w:tr w:rsidR="00A4740B" w:rsidRPr="00D437D2" w14:paraId="7AFE40D2" w14:textId="77777777" w:rsidTr="00A474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6E79CE7" w14:textId="77777777" w:rsidR="00A4740B" w:rsidRPr="00B40D29" w:rsidRDefault="00A4740B" w:rsidP="002D5343">
            <w:pPr>
              <w:rPr>
                <w:b w:val="0"/>
                <w:bCs w:val="0"/>
                <w:sz w:val="20"/>
                <w:szCs w:val="20"/>
              </w:rPr>
            </w:pPr>
            <w:r w:rsidRPr="00B40D29">
              <w:rPr>
                <w:sz w:val="20"/>
                <w:szCs w:val="20"/>
              </w:rPr>
              <w:t>Building societies (unsecured) *</w:t>
            </w:r>
          </w:p>
        </w:tc>
        <w:tc>
          <w:tcPr>
            <w:tcW w:w="1559" w:type="dxa"/>
            <w:vAlign w:val="center"/>
          </w:tcPr>
          <w:p w14:paraId="3E7B24A8"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13 months</w:t>
            </w:r>
          </w:p>
        </w:tc>
        <w:tc>
          <w:tcPr>
            <w:tcW w:w="1843" w:type="dxa"/>
            <w:vAlign w:val="center"/>
          </w:tcPr>
          <w:p w14:paraId="153A1999"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£2m</w:t>
            </w:r>
          </w:p>
        </w:tc>
        <w:tc>
          <w:tcPr>
            <w:tcW w:w="1701" w:type="dxa"/>
            <w:vAlign w:val="center"/>
          </w:tcPr>
          <w:p w14:paraId="70F4D0E1" w14:textId="2766E4DE" w:rsidR="00A4740B" w:rsidRPr="00B40D29" w:rsidRDefault="007855B3" w:rsidP="002D5343">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B40D29">
              <w:rPr>
                <w:sz w:val="20"/>
                <w:szCs w:val="20"/>
              </w:rPr>
              <w:t>£4</w:t>
            </w:r>
            <w:r w:rsidR="00A4740B" w:rsidRPr="00B40D29">
              <w:rPr>
                <w:sz w:val="20"/>
                <w:szCs w:val="20"/>
              </w:rPr>
              <w:t>m</w:t>
            </w:r>
          </w:p>
        </w:tc>
      </w:tr>
      <w:tr w:rsidR="00A4740B" w:rsidRPr="00D437D2" w14:paraId="33C10736" w14:textId="77777777" w:rsidTr="00A4740B">
        <w:trPr>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709A683" w14:textId="77777777" w:rsidR="00A4740B" w:rsidRPr="00B40D29" w:rsidRDefault="00A4740B" w:rsidP="002D5343">
            <w:pPr>
              <w:rPr>
                <w:b w:val="0"/>
                <w:bCs w:val="0"/>
                <w:sz w:val="20"/>
                <w:szCs w:val="20"/>
              </w:rPr>
            </w:pPr>
            <w:r w:rsidRPr="00B40D29">
              <w:rPr>
                <w:sz w:val="20"/>
                <w:szCs w:val="20"/>
              </w:rPr>
              <w:t>Registered providers (unsecured) *</w:t>
            </w:r>
          </w:p>
        </w:tc>
        <w:tc>
          <w:tcPr>
            <w:tcW w:w="1559" w:type="dxa"/>
            <w:vAlign w:val="center"/>
          </w:tcPr>
          <w:p w14:paraId="1845AA90" w14:textId="77777777" w:rsidR="00A4740B" w:rsidRPr="00B40D29" w:rsidRDefault="00A4740B"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5 years</w:t>
            </w:r>
          </w:p>
        </w:tc>
        <w:tc>
          <w:tcPr>
            <w:tcW w:w="1843" w:type="dxa"/>
            <w:vAlign w:val="center"/>
          </w:tcPr>
          <w:p w14:paraId="43AD07EA" w14:textId="2A16587E" w:rsidR="00A4740B" w:rsidRPr="00B40D29" w:rsidRDefault="00CC3B39"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£2</w:t>
            </w:r>
            <w:r w:rsidR="00A4740B" w:rsidRPr="00B40D29">
              <w:rPr>
                <w:sz w:val="20"/>
                <w:szCs w:val="20"/>
              </w:rPr>
              <w:t>m</w:t>
            </w:r>
          </w:p>
        </w:tc>
        <w:tc>
          <w:tcPr>
            <w:tcW w:w="1701" w:type="dxa"/>
            <w:vAlign w:val="center"/>
          </w:tcPr>
          <w:p w14:paraId="60157F49" w14:textId="63840E47" w:rsidR="00A4740B" w:rsidRPr="00B40D29" w:rsidRDefault="007855B3"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£5</w:t>
            </w:r>
            <w:r w:rsidR="00A4740B" w:rsidRPr="00B40D29">
              <w:rPr>
                <w:sz w:val="20"/>
                <w:szCs w:val="20"/>
              </w:rPr>
              <w:t>m</w:t>
            </w:r>
          </w:p>
        </w:tc>
      </w:tr>
      <w:tr w:rsidR="00A4740B" w:rsidRPr="00D437D2" w14:paraId="379F6DE6" w14:textId="77777777" w:rsidTr="00A474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F3E677B" w14:textId="77777777" w:rsidR="00A4740B" w:rsidRPr="00B40D29" w:rsidRDefault="00A4740B" w:rsidP="002D5343">
            <w:pPr>
              <w:rPr>
                <w:b w:val="0"/>
                <w:bCs w:val="0"/>
                <w:sz w:val="20"/>
                <w:szCs w:val="20"/>
              </w:rPr>
            </w:pPr>
            <w:r w:rsidRPr="00B40D29">
              <w:rPr>
                <w:sz w:val="20"/>
                <w:szCs w:val="20"/>
              </w:rPr>
              <w:t>Money market funds *</w:t>
            </w:r>
          </w:p>
        </w:tc>
        <w:tc>
          <w:tcPr>
            <w:tcW w:w="1559" w:type="dxa"/>
            <w:vAlign w:val="center"/>
          </w:tcPr>
          <w:p w14:paraId="68148A63"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n/a</w:t>
            </w:r>
          </w:p>
        </w:tc>
        <w:tc>
          <w:tcPr>
            <w:tcW w:w="1843" w:type="dxa"/>
            <w:vAlign w:val="center"/>
          </w:tcPr>
          <w:p w14:paraId="770DD459"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B40D29">
              <w:rPr>
                <w:sz w:val="20"/>
                <w:szCs w:val="20"/>
              </w:rPr>
              <w:t>£3m</w:t>
            </w:r>
          </w:p>
        </w:tc>
        <w:tc>
          <w:tcPr>
            <w:tcW w:w="1701" w:type="dxa"/>
            <w:vAlign w:val="center"/>
          </w:tcPr>
          <w:p w14:paraId="6898591C"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B40D29">
              <w:rPr>
                <w:sz w:val="20"/>
                <w:szCs w:val="20"/>
              </w:rPr>
              <w:t>Unlimited</w:t>
            </w:r>
          </w:p>
        </w:tc>
      </w:tr>
      <w:tr w:rsidR="00A4740B" w:rsidRPr="00D437D2" w14:paraId="2D2C5695" w14:textId="77777777" w:rsidTr="00A4740B">
        <w:trPr>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A47EB84" w14:textId="77777777" w:rsidR="00A4740B" w:rsidRPr="00B40D29" w:rsidRDefault="00A4740B" w:rsidP="002D5343">
            <w:pPr>
              <w:rPr>
                <w:b w:val="0"/>
                <w:bCs w:val="0"/>
                <w:sz w:val="20"/>
                <w:szCs w:val="20"/>
              </w:rPr>
            </w:pPr>
            <w:r w:rsidRPr="00B40D29">
              <w:rPr>
                <w:sz w:val="20"/>
                <w:szCs w:val="20"/>
              </w:rPr>
              <w:t>Strategic pooled funds</w:t>
            </w:r>
          </w:p>
        </w:tc>
        <w:tc>
          <w:tcPr>
            <w:tcW w:w="1559" w:type="dxa"/>
            <w:vAlign w:val="center"/>
          </w:tcPr>
          <w:p w14:paraId="3423146D" w14:textId="77777777" w:rsidR="00A4740B" w:rsidRPr="00B40D29" w:rsidRDefault="00A4740B"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n/a</w:t>
            </w:r>
          </w:p>
        </w:tc>
        <w:tc>
          <w:tcPr>
            <w:tcW w:w="1843" w:type="dxa"/>
            <w:vAlign w:val="center"/>
          </w:tcPr>
          <w:p w14:paraId="40D35B9C" w14:textId="77777777" w:rsidR="00A4740B" w:rsidRPr="00B40D29" w:rsidRDefault="00A4740B" w:rsidP="002D5343">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B40D29">
              <w:rPr>
                <w:sz w:val="20"/>
                <w:szCs w:val="20"/>
              </w:rPr>
              <w:t>£3m</w:t>
            </w:r>
          </w:p>
        </w:tc>
        <w:tc>
          <w:tcPr>
            <w:tcW w:w="1701" w:type="dxa"/>
            <w:vAlign w:val="center"/>
          </w:tcPr>
          <w:p w14:paraId="076E4A7D" w14:textId="77777777" w:rsidR="00A4740B" w:rsidRPr="00B40D29" w:rsidRDefault="00A4740B" w:rsidP="002D5343">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B40D29">
              <w:rPr>
                <w:sz w:val="20"/>
                <w:szCs w:val="20"/>
              </w:rPr>
              <w:t>£15m</w:t>
            </w:r>
          </w:p>
        </w:tc>
      </w:tr>
      <w:tr w:rsidR="00A4740B" w:rsidRPr="00D437D2" w14:paraId="639E5D68" w14:textId="77777777" w:rsidTr="00A474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AF76A28" w14:textId="77777777" w:rsidR="00A4740B" w:rsidRPr="00B40D29" w:rsidRDefault="00A4740B" w:rsidP="002D5343">
            <w:pPr>
              <w:rPr>
                <w:b w:val="0"/>
                <w:bCs w:val="0"/>
                <w:sz w:val="20"/>
                <w:szCs w:val="20"/>
              </w:rPr>
            </w:pPr>
            <w:r w:rsidRPr="00B40D29">
              <w:rPr>
                <w:sz w:val="20"/>
                <w:szCs w:val="20"/>
              </w:rPr>
              <w:t>Other investments *</w:t>
            </w:r>
          </w:p>
        </w:tc>
        <w:tc>
          <w:tcPr>
            <w:tcW w:w="1559" w:type="dxa"/>
            <w:vAlign w:val="center"/>
          </w:tcPr>
          <w:p w14:paraId="50B0332F"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5 years</w:t>
            </w:r>
          </w:p>
        </w:tc>
        <w:tc>
          <w:tcPr>
            <w:tcW w:w="1843" w:type="dxa"/>
            <w:vAlign w:val="center"/>
          </w:tcPr>
          <w:p w14:paraId="12A863D3"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£2m</w:t>
            </w:r>
          </w:p>
        </w:tc>
        <w:tc>
          <w:tcPr>
            <w:tcW w:w="1701" w:type="dxa"/>
            <w:vAlign w:val="center"/>
          </w:tcPr>
          <w:p w14:paraId="610A4FA5" w14:textId="77777777" w:rsidR="00A4740B" w:rsidRPr="00B40D29" w:rsidRDefault="00A4740B"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£3m</w:t>
            </w:r>
          </w:p>
        </w:tc>
      </w:tr>
    </w:tbl>
    <w:p w14:paraId="282186FA" w14:textId="0F739521" w:rsidR="00A4740B" w:rsidRPr="00D437D2" w:rsidRDefault="00A4740B" w:rsidP="002D5343">
      <w:pPr>
        <w:rPr>
          <w:highlight w:val="green"/>
        </w:rPr>
      </w:pPr>
    </w:p>
    <w:p w14:paraId="6AA039A8" w14:textId="1647DD72" w:rsidR="00770E1C" w:rsidRPr="00B40D29" w:rsidRDefault="00770E1C" w:rsidP="002D5343">
      <w:pPr>
        <w:rPr>
          <w:b/>
          <w:i/>
        </w:rPr>
      </w:pPr>
      <w:r w:rsidRPr="00B40D29">
        <w:t xml:space="preserve">Definitions of the above terminology are included in </w:t>
      </w:r>
      <w:r w:rsidRPr="00B40D29">
        <w:rPr>
          <w:b/>
          <w:i/>
        </w:rPr>
        <w:t xml:space="preserve">Appendix </w:t>
      </w:r>
      <w:r w:rsidR="00D50313" w:rsidRPr="00B40D29">
        <w:rPr>
          <w:b/>
          <w:i/>
        </w:rPr>
        <w:t>B</w:t>
      </w:r>
      <w:r w:rsidRPr="00B40D29">
        <w:rPr>
          <w:b/>
          <w:i/>
        </w:rPr>
        <w:t>.</w:t>
      </w:r>
    </w:p>
    <w:p w14:paraId="17C1B55D" w14:textId="00DF292D" w:rsidR="000057F5" w:rsidRPr="00B40D29" w:rsidRDefault="000057F5" w:rsidP="002D5343">
      <w:r w:rsidRPr="00B40D29">
        <w:t>* Minimum credit rating</w:t>
      </w:r>
    </w:p>
    <w:p w14:paraId="7D577185" w14:textId="240EFF5E" w:rsidR="000057F5" w:rsidRPr="00B40D29" w:rsidRDefault="000057F5" w:rsidP="002D5343">
      <w:r w:rsidRPr="00B40D29">
        <w:t>Treasury investments in the sectors marked with an asterisk will only be made with entities whose lowest published long-term credit rating is no lower than A-. Where available, the credit rating relevant to the specific investmen</w:t>
      </w:r>
      <w:r w:rsidR="00DC411D" w:rsidRPr="00B40D29">
        <w:t>t or class of investment is considered</w:t>
      </w:r>
      <w:r w:rsidRPr="00B40D29">
        <w:t xml:space="preserve">, </w:t>
      </w:r>
      <w:r w:rsidR="00DC411D" w:rsidRPr="00B40D29">
        <w:t>as are c</w:t>
      </w:r>
      <w:r w:rsidRPr="00B40D29">
        <w:t>o</w:t>
      </w:r>
      <w:r w:rsidR="00DC411D" w:rsidRPr="00B40D29">
        <w:t>unterparty credit ratings</w:t>
      </w:r>
      <w:r w:rsidRPr="00B40D29">
        <w:t xml:space="preserve">. However, investment decisions are never made solely based on credit ratings, and all other relevant factors including external advice will be </w:t>
      </w:r>
      <w:proofErr w:type="gramStart"/>
      <w:r w:rsidRPr="00B40D29">
        <w:t>taken into account</w:t>
      </w:r>
      <w:proofErr w:type="gramEnd"/>
      <w:r w:rsidRPr="00B40D29">
        <w:t>.</w:t>
      </w:r>
    </w:p>
    <w:p w14:paraId="7D3807F1" w14:textId="579113CA" w:rsidR="000057F5" w:rsidRPr="00B40D29" w:rsidRDefault="000057F5" w:rsidP="002D5343">
      <w:r w:rsidRPr="00B40D29">
        <w:lastRenderedPageBreak/>
        <w:t xml:space="preserve">For entities without published credit ratings, investments may be made either (a) where external advice indicates the entity to be of similar credit quality; or (b) to a maximum of £2m per counterparty as part of a diversified pool </w:t>
      </w:r>
      <w:proofErr w:type="gramStart"/>
      <w:r w:rsidRPr="00B40D29">
        <w:t>e.g.</w:t>
      </w:r>
      <w:proofErr w:type="gramEnd"/>
      <w:r w:rsidRPr="00B40D29">
        <w:t xml:space="preserve"> via a peer-to-peer platform.</w:t>
      </w:r>
    </w:p>
    <w:p w14:paraId="73B10DA3" w14:textId="77777777" w:rsidR="004C51C4" w:rsidRPr="00B40D29" w:rsidRDefault="004C51C4" w:rsidP="002D5343"/>
    <w:p w14:paraId="1FD0D0A1" w14:textId="4936AF9B" w:rsidR="00770E1C" w:rsidRPr="00B40D29" w:rsidRDefault="00BE578E" w:rsidP="002D5343">
      <w:pPr>
        <w:rPr>
          <w:b/>
          <w:bCs/>
        </w:rPr>
      </w:pPr>
      <w:r w:rsidRPr="00B40D29">
        <w:rPr>
          <w:b/>
          <w:bCs/>
        </w:rPr>
        <w:t xml:space="preserve">4.2 </w:t>
      </w:r>
      <w:r w:rsidR="00770E1C" w:rsidRPr="00B40D29">
        <w:rPr>
          <w:b/>
          <w:bCs/>
        </w:rPr>
        <w:t>Risk Assessment and Credit Ratings</w:t>
      </w:r>
    </w:p>
    <w:p w14:paraId="28E067DD" w14:textId="6A25BA6F" w:rsidR="00770E1C" w:rsidRPr="00B40D29" w:rsidRDefault="00770E1C" w:rsidP="002D5343">
      <w:r w:rsidRPr="00B40D29">
        <w:t xml:space="preserve">Credit ratings are obtained and monitored by the </w:t>
      </w:r>
      <w:r w:rsidR="00657EFA" w:rsidRPr="00B40D29">
        <w:t>Commissioner</w:t>
      </w:r>
      <w:r w:rsidRPr="00B40D29">
        <w:t>’s treasury advisers, who will notify changes in ratings as they occur.  Where an entity has its credit rating downgraded so that it fails to meet the approved investment criteria then:</w:t>
      </w:r>
    </w:p>
    <w:p w14:paraId="43FD45AD" w14:textId="77777777" w:rsidR="00770E1C" w:rsidRPr="00B40D29" w:rsidRDefault="00770E1C" w:rsidP="002D5343">
      <w:pPr>
        <w:pStyle w:val="ListParagraph"/>
        <w:numPr>
          <w:ilvl w:val="0"/>
          <w:numId w:val="23"/>
        </w:numPr>
      </w:pPr>
      <w:r w:rsidRPr="00B40D29">
        <w:t>no new investments will be made,</w:t>
      </w:r>
    </w:p>
    <w:p w14:paraId="6666E71F" w14:textId="77777777" w:rsidR="00770E1C" w:rsidRPr="00B40D29" w:rsidRDefault="00770E1C" w:rsidP="002D5343">
      <w:pPr>
        <w:pStyle w:val="ListParagraph"/>
        <w:numPr>
          <w:ilvl w:val="0"/>
          <w:numId w:val="23"/>
        </w:numPr>
      </w:pPr>
      <w:r w:rsidRPr="00B40D29">
        <w:t>any existing investments that can be recalled or sold at no cost will be, and</w:t>
      </w:r>
    </w:p>
    <w:p w14:paraId="14BD71F9" w14:textId="77777777" w:rsidR="00770E1C" w:rsidRPr="00B40D29" w:rsidRDefault="00770E1C" w:rsidP="002D5343">
      <w:pPr>
        <w:pStyle w:val="ListParagraph"/>
        <w:numPr>
          <w:ilvl w:val="0"/>
          <w:numId w:val="23"/>
        </w:numPr>
      </w:pPr>
      <w:r w:rsidRPr="00B40D29">
        <w:t>full consideration will be given to the recall or sale of all other existing investments with the affected counterparty.</w:t>
      </w:r>
    </w:p>
    <w:p w14:paraId="72078EF7" w14:textId="77777777" w:rsidR="005B1A24" w:rsidRPr="00B40D29" w:rsidRDefault="005B1A24" w:rsidP="002D5343"/>
    <w:p w14:paraId="42CA0B8A" w14:textId="4BEF39C0" w:rsidR="00770E1C" w:rsidRPr="00B40D29" w:rsidRDefault="00770E1C" w:rsidP="002D5343">
      <w:r w:rsidRPr="00B40D29">
        <w:t>Where a credit rating agency announces that a credit rating is on review for possible downgrade (also known as “rating watch negative” or “credit watch negative”) so that it may fall below the approved rating criteria, then only inv</w:t>
      </w:r>
      <w:r w:rsidR="00DC411D" w:rsidRPr="00B40D29">
        <w:t>estments that can be withdrawn by the next working day</w:t>
      </w:r>
      <w:r w:rsidRPr="00B40D29">
        <w:t xml:space="preserve"> will be made with that organisation until the outcome of the review is announced.  This policy will not apply to negative outlooks, which indicate a long-term direction of travel rather than an imminent change of rating.</w:t>
      </w:r>
    </w:p>
    <w:p w14:paraId="7D4406CA" w14:textId="77777777" w:rsidR="00810671" w:rsidRPr="00B40D29" w:rsidRDefault="00810671" w:rsidP="00810671">
      <w:r w:rsidRPr="00B40D29">
        <w:t>The Commissioner defines “high credit quality” organisations and securities as those having a credit rating of A- or higher that are domiciled in the UK or a foreign country with a sovereign rating of AA+ or higher. For money market funds and other pooled funds “high credit quality” is defined as those having a credit rating of A- or higher.</w:t>
      </w:r>
    </w:p>
    <w:p w14:paraId="33875869" w14:textId="30F87518" w:rsidR="00810671" w:rsidRPr="004A501B" w:rsidRDefault="00810671" w:rsidP="002D5343">
      <w:r w:rsidRPr="00B40D29">
        <w:t>Significant levels of downgrades to Short and Long-Term credit ratings have not materialised since the crisis in March 2020. In the main, where they did change, any alterations were limited to Outlooks. However, more recently the UK sovereign debt rating has been placed on Negative Outlook by the three major rating agencies in the wake of the Truss/Kwarteng unfunded tax-cuts policy.  Although the Sunak/Hunt government has calmed markets, the outcome of the rating agency reviews is unknown at present, but it is possible the UK sovereign debt rating will be downgraded.  Accordingly, when setting minimum sovereign debt ratings, the Commissioner will not set a minimum rating for the UK</w:t>
      </w:r>
    </w:p>
    <w:p w14:paraId="52D64BF3" w14:textId="77777777" w:rsidR="005B1A24" w:rsidRPr="004A501B" w:rsidRDefault="005B1A24" w:rsidP="002D5343"/>
    <w:p w14:paraId="6AA72EB2" w14:textId="25474347" w:rsidR="00532B62" w:rsidRPr="0017003A" w:rsidRDefault="00BE578E" w:rsidP="002D5343">
      <w:pPr>
        <w:rPr>
          <w:b/>
          <w:bCs/>
        </w:rPr>
      </w:pPr>
      <w:r>
        <w:rPr>
          <w:b/>
          <w:bCs/>
        </w:rPr>
        <w:t xml:space="preserve">4.3 </w:t>
      </w:r>
      <w:r w:rsidR="00770E1C" w:rsidRPr="0017003A">
        <w:rPr>
          <w:b/>
          <w:bCs/>
        </w:rPr>
        <w:t xml:space="preserve">Other Information on the Security of Investments </w:t>
      </w:r>
    </w:p>
    <w:p w14:paraId="5C297BCE" w14:textId="50277024" w:rsidR="00770E1C" w:rsidRPr="004A501B" w:rsidRDefault="00770E1C" w:rsidP="002D5343">
      <w:r w:rsidRPr="004A501B">
        <w:t xml:space="preserve">The </w:t>
      </w:r>
      <w:r w:rsidR="00657EFA" w:rsidRPr="004A501B">
        <w:t>Commissioner</w:t>
      </w:r>
      <w:r w:rsidRPr="004A501B">
        <w:t xml:space="preserve"> understands that credit ratings are good, but not perfect, predictors of investment default.  Full regard will therefore be given to other available information on the credit quality of the organisations in which it invests, including credit default swap prices, financial statements, information on potential government support and reports in the quality financial press.  No investments will be made with an organisation if there are substantive doubts about its credit quality, even though it may meet the credit rating criteria.</w:t>
      </w:r>
    </w:p>
    <w:p w14:paraId="3E7F8366" w14:textId="488A9ECA" w:rsidR="00770E1C" w:rsidRPr="004A501B" w:rsidRDefault="00770E1C" w:rsidP="002D5343">
      <w:r w:rsidRPr="004A501B">
        <w:t xml:space="preserve">When deteriorating financial market conditions affect the creditworthiness of all organisations, as happened in 2008 and 2011, this is not generally reflected in credit ratings, but can be </w:t>
      </w:r>
      <w:r w:rsidRPr="004A501B">
        <w:lastRenderedPageBreak/>
        <w:t xml:space="preserve">seen in other market measures.  In these circumstances, the </w:t>
      </w:r>
      <w:r w:rsidR="00345AC9">
        <w:t>Commissioner</w:t>
      </w:r>
      <w:r w:rsidR="00345AC9" w:rsidRPr="004A501B">
        <w:t xml:space="preserve"> </w:t>
      </w:r>
      <w:r w:rsidRPr="004A501B">
        <w:t xml:space="preserve">will restrict its investments to those organisations of higher credit quality and reduce the maximum duration of its investments to maintain the required level of security.  The extent of these restrictions will be in line with prevailing financial market conditions. If these restrictions mean that insufficient commercial organisations of high credit quality are available to invest the </w:t>
      </w:r>
      <w:r w:rsidR="00345AC9">
        <w:t>Commissioner</w:t>
      </w:r>
      <w:r w:rsidR="00345AC9" w:rsidRPr="004A501B">
        <w:t xml:space="preserve">’s </w:t>
      </w:r>
      <w:r w:rsidRPr="004A501B">
        <w:t xml:space="preserve">cash balances, then the surplus will be deposited with the UK Government, via the Debt Management Office or invested in government treasury bills for example, or with other local authorities.  This will cause a reduction in the level of investment income </w:t>
      </w:r>
      <w:proofErr w:type="gramStart"/>
      <w:r w:rsidRPr="004A501B">
        <w:t>earned, but</w:t>
      </w:r>
      <w:proofErr w:type="gramEnd"/>
      <w:r w:rsidRPr="004A501B">
        <w:t xml:space="preserve"> will protect the principal sum invested.</w:t>
      </w:r>
    </w:p>
    <w:p w14:paraId="0A58D54A" w14:textId="77777777" w:rsidR="0017003A" w:rsidRDefault="0017003A" w:rsidP="0017003A">
      <w:pPr>
        <w:pStyle w:val="Heading2"/>
      </w:pPr>
    </w:p>
    <w:p w14:paraId="3CE0B9AB" w14:textId="5BCBF1D1" w:rsidR="00770E1C" w:rsidRPr="00B40D29" w:rsidRDefault="00BE578E" w:rsidP="0017003A">
      <w:pPr>
        <w:pStyle w:val="Heading2"/>
      </w:pPr>
      <w:r>
        <w:t xml:space="preserve">4.4 </w:t>
      </w:r>
      <w:r w:rsidR="00770E1C" w:rsidRPr="00B40D29">
        <w:t>Specified Investments</w:t>
      </w:r>
    </w:p>
    <w:p w14:paraId="143FB841" w14:textId="2FA14C24" w:rsidR="00770E1C" w:rsidRPr="00B40D29" w:rsidRDefault="00770E1C" w:rsidP="002D5343">
      <w:r w:rsidRPr="00B40D29">
        <w:t>The WG Guidance defines specified investments as those:</w:t>
      </w:r>
    </w:p>
    <w:p w14:paraId="6B8C5500" w14:textId="77777777" w:rsidR="00770E1C" w:rsidRPr="00B40D29" w:rsidRDefault="00770E1C" w:rsidP="002D5343">
      <w:pPr>
        <w:pStyle w:val="ListParagraph"/>
        <w:numPr>
          <w:ilvl w:val="0"/>
          <w:numId w:val="14"/>
        </w:numPr>
      </w:pPr>
      <w:r w:rsidRPr="00B40D29">
        <w:t>denominated in pound sterling,</w:t>
      </w:r>
    </w:p>
    <w:p w14:paraId="01A5D478" w14:textId="503CB857" w:rsidR="00770E1C" w:rsidRPr="00B40D29" w:rsidRDefault="00770E1C" w:rsidP="002D5343">
      <w:pPr>
        <w:pStyle w:val="ListParagraph"/>
        <w:numPr>
          <w:ilvl w:val="0"/>
          <w:numId w:val="14"/>
        </w:numPr>
      </w:pPr>
      <w:r w:rsidRPr="00B40D29">
        <w:t>due to be repaid within 12 months of arrangement</w:t>
      </w:r>
      <w:r w:rsidR="000B375A" w:rsidRPr="00B40D29">
        <w:t xml:space="preserve"> unless the counterpart is a local authority</w:t>
      </w:r>
      <w:r w:rsidRPr="00B40D29">
        <w:t>,</w:t>
      </w:r>
    </w:p>
    <w:p w14:paraId="51D4AF9F" w14:textId="77777777" w:rsidR="00770E1C" w:rsidRPr="00B40D29" w:rsidRDefault="00770E1C" w:rsidP="002D5343">
      <w:pPr>
        <w:pStyle w:val="ListParagraph"/>
        <w:numPr>
          <w:ilvl w:val="0"/>
          <w:numId w:val="14"/>
        </w:numPr>
      </w:pPr>
      <w:r w:rsidRPr="00B40D29">
        <w:t>not defined as capital expenditure by legislation, and</w:t>
      </w:r>
    </w:p>
    <w:p w14:paraId="67625129" w14:textId="77777777" w:rsidR="00770E1C" w:rsidRPr="00B40D29" w:rsidRDefault="00770E1C" w:rsidP="002D5343">
      <w:pPr>
        <w:pStyle w:val="ListParagraph"/>
        <w:numPr>
          <w:ilvl w:val="0"/>
          <w:numId w:val="14"/>
        </w:numPr>
      </w:pPr>
      <w:r w:rsidRPr="00B40D29">
        <w:t>invested with one of:</w:t>
      </w:r>
    </w:p>
    <w:p w14:paraId="41D07480" w14:textId="77777777" w:rsidR="00770E1C" w:rsidRPr="00B40D29" w:rsidRDefault="00770E1C" w:rsidP="002D5343">
      <w:pPr>
        <w:pStyle w:val="ListParagraph"/>
        <w:numPr>
          <w:ilvl w:val="1"/>
          <w:numId w:val="14"/>
        </w:numPr>
      </w:pPr>
      <w:r w:rsidRPr="00B40D29">
        <w:t>the UK Government,</w:t>
      </w:r>
    </w:p>
    <w:p w14:paraId="75122DD6" w14:textId="77777777" w:rsidR="00770E1C" w:rsidRPr="00B40D29" w:rsidRDefault="00770E1C" w:rsidP="002D5343">
      <w:pPr>
        <w:pStyle w:val="ListParagraph"/>
        <w:numPr>
          <w:ilvl w:val="1"/>
          <w:numId w:val="14"/>
        </w:numPr>
      </w:pPr>
      <w:r w:rsidRPr="00B40D29">
        <w:t>a UK local authority, parish council or community council,</w:t>
      </w:r>
      <w:r w:rsidR="00D279A6" w:rsidRPr="00B40D29">
        <w:t xml:space="preserve"> </w:t>
      </w:r>
      <w:proofErr w:type="gramStart"/>
      <w:r w:rsidR="00D279A6" w:rsidRPr="00B40D29">
        <w:t>police</w:t>
      </w:r>
      <w:proofErr w:type="gramEnd"/>
      <w:r w:rsidR="00D279A6" w:rsidRPr="00B40D29">
        <w:t xml:space="preserve"> or fire,</w:t>
      </w:r>
      <w:r w:rsidRPr="00B40D29">
        <w:t xml:space="preserve"> or</w:t>
      </w:r>
    </w:p>
    <w:p w14:paraId="557554B1" w14:textId="5AF226B5" w:rsidR="00770E1C" w:rsidRPr="00B40D29" w:rsidRDefault="00770E1C" w:rsidP="002D5343">
      <w:pPr>
        <w:pStyle w:val="ListParagraph"/>
        <w:numPr>
          <w:ilvl w:val="1"/>
          <w:numId w:val="14"/>
        </w:numPr>
      </w:pPr>
      <w:r w:rsidRPr="00B40D29">
        <w:t>a body or investment scheme of “high credit quality”.</w:t>
      </w:r>
    </w:p>
    <w:p w14:paraId="54585071" w14:textId="77777777" w:rsidR="00D437D2" w:rsidRPr="00B40D29" w:rsidRDefault="00D437D2" w:rsidP="002D5343"/>
    <w:p w14:paraId="33DD1519" w14:textId="63598D2D" w:rsidR="00770E1C" w:rsidRPr="00B40D29" w:rsidRDefault="0017003A" w:rsidP="0017003A">
      <w:pPr>
        <w:pStyle w:val="Heading2"/>
      </w:pPr>
      <w:r w:rsidRPr="00B40D29">
        <w:t xml:space="preserve">4.5 </w:t>
      </w:r>
      <w:r w:rsidR="00770E1C" w:rsidRPr="00B40D29">
        <w:t>Non-specified Investments</w:t>
      </w:r>
    </w:p>
    <w:p w14:paraId="437F29E3" w14:textId="426F1897" w:rsidR="00770E1C" w:rsidRPr="00B40D29" w:rsidRDefault="00770E1C" w:rsidP="002D5343">
      <w:r w:rsidRPr="00B40D29">
        <w:t xml:space="preserve">Any investment not meeting the definition of a specified investment is classed as non-specified. </w:t>
      </w:r>
      <w:r w:rsidR="000B375A" w:rsidRPr="00B40D29">
        <w:t xml:space="preserve">Given the wide definition of a loan, this category only applies to units in pooled funds and shares in companies. Limits on non-specified investments are shown in table </w:t>
      </w:r>
      <w:r w:rsidR="005B1A24" w:rsidRPr="00B40D29">
        <w:t>4 below.</w:t>
      </w:r>
      <w:r w:rsidR="000B375A" w:rsidRPr="00B40D29">
        <w:t xml:space="preserve"> The </w:t>
      </w:r>
      <w:r w:rsidR="00657EFA" w:rsidRPr="00B40D29">
        <w:t>Commissioner</w:t>
      </w:r>
      <w:r w:rsidR="000B375A" w:rsidRPr="00B40D29">
        <w:t xml:space="preserve"> confirms that its current non-specified investments remain within these limits. </w:t>
      </w:r>
    </w:p>
    <w:p w14:paraId="0076C016" w14:textId="73706F0B" w:rsidR="00770E1C" w:rsidRPr="00B40D29" w:rsidRDefault="00607EFC" w:rsidP="002D5343">
      <w:pPr>
        <w:rPr>
          <w:color w:val="FF0000"/>
        </w:rPr>
      </w:pPr>
      <w:r w:rsidRPr="00B40D29">
        <w:t>Table 4</w:t>
      </w:r>
      <w:r w:rsidR="00770E1C" w:rsidRPr="00B40D29">
        <w:t xml:space="preserve">: Non-Specified Investment Limits </w:t>
      </w:r>
    </w:p>
    <w:tbl>
      <w:tblPr>
        <w:tblStyle w:val="GridTable4-Accent1"/>
        <w:tblW w:w="0" w:type="auto"/>
        <w:tblInd w:w="-5" w:type="dxa"/>
        <w:tblLook w:val="04A0" w:firstRow="1" w:lastRow="0" w:firstColumn="1" w:lastColumn="0" w:noHBand="0" w:noVBand="1"/>
      </w:tblPr>
      <w:tblGrid>
        <w:gridCol w:w="3402"/>
        <w:gridCol w:w="2410"/>
        <w:gridCol w:w="2410"/>
      </w:tblGrid>
      <w:tr w:rsidR="00D26D6C" w:rsidRPr="00B40D29" w14:paraId="0F51C2BA" w14:textId="77777777" w:rsidTr="004A501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6B3BE91" w14:textId="77777777" w:rsidR="00770E1C" w:rsidRPr="00B40D29" w:rsidRDefault="00770E1C" w:rsidP="002D5343">
            <w:pPr>
              <w:rPr>
                <w:b w:val="0"/>
                <w:bCs w:val="0"/>
                <w:sz w:val="20"/>
                <w:szCs w:val="20"/>
              </w:rPr>
            </w:pPr>
          </w:p>
        </w:tc>
        <w:tc>
          <w:tcPr>
            <w:tcW w:w="2410" w:type="dxa"/>
            <w:vAlign w:val="center"/>
          </w:tcPr>
          <w:p w14:paraId="4338B88C" w14:textId="77777777" w:rsidR="00770E1C" w:rsidRPr="00B40D29" w:rsidRDefault="00966D2A" w:rsidP="002D534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40D29">
              <w:rPr>
                <w:sz w:val="20"/>
                <w:szCs w:val="20"/>
              </w:rPr>
              <w:t>Current Amounts Invested</w:t>
            </w:r>
          </w:p>
          <w:p w14:paraId="18A2B1D2" w14:textId="6AF9A451" w:rsidR="00ED2F81" w:rsidRPr="00B40D29" w:rsidRDefault="00ED2F81" w:rsidP="002D5343">
            <w:pPr>
              <w:cnfStyle w:val="100000000000" w:firstRow="1" w:lastRow="0" w:firstColumn="0" w:lastColumn="0" w:oddVBand="0" w:evenVBand="0" w:oddHBand="0" w:evenHBand="0" w:firstRowFirstColumn="0" w:firstRowLastColumn="0" w:lastRowFirstColumn="0" w:lastRowLastColumn="0"/>
              <w:rPr>
                <w:sz w:val="20"/>
                <w:szCs w:val="20"/>
              </w:rPr>
            </w:pPr>
            <w:r w:rsidRPr="00B40D29">
              <w:rPr>
                <w:sz w:val="20"/>
                <w:szCs w:val="20"/>
              </w:rPr>
              <w:t>£m</w:t>
            </w:r>
          </w:p>
        </w:tc>
        <w:tc>
          <w:tcPr>
            <w:tcW w:w="2410" w:type="dxa"/>
            <w:vAlign w:val="center"/>
          </w:tcPr>
          <w:p w14:paraId="14906FEF" w14:textId="66BCBC3D" w:rsidR="00770E1C" w:rsidRPr="00B40D29" w:rsidRDefault="00770E1C" w:rsidP="002D534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40D29">
              <w:rPr>
                <w:sz w:val="20"/>
                <w:szCs w:val="20"/>
              </w:rPr>
              <w:t>Cash limit (Proposed 20</w:t>
            </w:r>
            <w:r w:rsidR="002F0B92" w:rsidRPr="00B40D29">
              <w:rPr>
                <w:sz w:val="20"/>
                <w:szCs w:val="20"/>
              </w:rPr>
              <w:t>2</w:t>
            </w:r>
            <w:r w:rsidR="00762D23" w:rsidRPr="00B40D29">
              <w:rPr>
                <w:sz w:val="20"/>
                <w:szCs w:val="20"/>
              </w:rPr>
              <w:t>3</w:t>
            </w:r>
            <w:r w:rsidRPr="00B40D29">
              <w:rPr>
                <w:sz w:val="20"/>
                <w:szCs w:val="20"/>
              </w:rPr>
              <w:t>/</w:t>
            </w:r>
            <w:r w:rsidR="002158F0" w:rsidRPr="00B40D29">
              <w:rPr>
                <w:sz w:val="20"/>
                <w:szCs w:val="20"/>
              </w:rPr>
              <w:t>2</w:t>
            </w:r>
            <w:r w:rsidR="00762D23" w:rsidRPr="00B40D29">
              <w:rPr>
                <w:sz w:val="20"/>
                <w:szCs w:val="20"/>
              </w:rPr>
              <w:t>4</w:t>
            </w:r>
            <w:r w:rsidRPr="00B40D29">
              <w:rPr>
                <w:sz w:val="20"/>
                <w:szCs w:val="20"/>
              </w:rPr>
              <w:t>)</w:t>
            </w:r>
          </w:p>
          <w:p w14:paraId="348C8EDF" w14:textId="497661F4" w:rsidR="00ED2F81" w:rsidRPr="00B40D29" w:rsidRDefault="00ED2F81" w:rsidP="002D5343">
            <w:pPr>
              <w:cnfStyle w:val="100000000000" w:firstRow="1" w:lastRow="0" w:firstColumn="0" w:lastColumn="0" w:oddVBand="0" w:evenVBand="0" w:oddHBand="0" w:evenHBand="0" w:firstRowFirstColumn="0" w:firstRowLastColumn="0" w:lastRowFirstColumn="0" w:lastRowLastColumn="0"/>
              <w:rPr>
                <w:sz w:val="20"/>
                <w:szCs w:val="20"/>
              </w:rPr>
            </w:pPr>
            <w:r w:rsidRPr="00B40D29">
              <w:rPr>
                <w:sz w:val="20"/>
                <w:szCs w:val="20"/>
              </w:rPr>
              <w:t>£m</w:t>
            </w:r>
          </w:p>
        </w:tc>
      </w:tr>
      <w:tr w:rsidR="003C74E6" w:rsidRPr="00B40D29" w14:paraId="30AFB3A1" w14:textId="77777777" w:rsidTr="004A501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D6E700A" w14:textId="412CB7BC" w:rsidR="00770E1C" w:rsidRPr="00B40D29" w:rsidRDefault="000B375A" w:rsidP="002D5343">
            <w:pPr>
              <w:rPr>
                <w:b w:val="0"/>
                <w:bCs w:val="0"/>
                <w:sz w:val="20"/>
                <w:szCs w:val="20"/>
              </w:rPr>
            </w:pPr>
            <w:r w:rsidRPr="00B40D29">
              <w:rPr>
                <w:sz w:val="20"/>
                <w:szCs w:val="20"/>
              </w:rPr>
              <w:t>Units in pooled funds without credit ratings or rates below A-</w:t>
            </w:r>
          </w:p>
        </w:tc>
        <w:tc>
          <w:tcPr>
            <w:tcW w:w="2410" w:type="dxa"/>
            <w:vAlign w:val="center"/>
          </w:tcPr>
          <w:p w14:paraId="50CD0846" w14:textId="00C6BC23" w:rsidR="00770E1C" w:rsidRPr="00B40D29" w:rsidRDefault="002400BF"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w:t>
            </w:r>
          </w:p>
        </w:tc>
        <w:tc>
          <w:tcPr>
            <w:tcW w:w="2410" w:type="dxa"/>
            <w:vAlign w:val="center"/>
          </w:tcPr>
          <w:p w14:paraId="64C33AB2" w14:textId="08FA7ACF" w:rsidR="00770E1C" w:rsidRPr="00B40D29" w:rsidRDefault="00ED2F81"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3.0</w:t>
            </w:r>
          </w:p>
        </w:tc>
      </w:tr>
      <w:tr w:rsidR="003C74E6" w:rsidRPr="00B40D29" w14:paraId="4E1C42BD" w14:textId="77777777" w:rsidTr="004A501B">
        <w:trPr>
          <w:trHeight w:val="79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F8AEFB8" w14:textId="06364329" w:rsidR="00770E1C" w:rsidRPr="00B40D29" w:rsidRDefault="000B375A" w:rsidP="002D5343">
            <w:pPr>
              <w:rPr>
                <w:b w:val="0"/>
                <w:bCs w:val="0"/>
                <w:sz w:val="20"/>
                <w:szCs w:val="20"/>
              </w:rPr>
            </w:pPr>
            <w:r w:rsidRPr="00B40D29">
              <w:rPr>
                <w:sz w:val="20"/>
                <w:szCs w:val="20"/>
              </w:rPr>
              <w:t>Shares in local organisations</w:t>
            </w:r>
          </w:p>
        </w:tc>
        <w:tc>
          <w:tcPr>
            <w:tcW w:w="2410" w:type="dxa"/>
            <w:vAlign w:val="center"/>
          </w:tcPr>
          <w:p w14:paraId="701B4394" w14:textId="632C3E57" w:rsidR="00770E1C" w:rsidRPr="00B40D29" w:rsidRDefault="002400BF"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w:t>
            </w:r>
          </w:p>
        </w:tc>
        <w:tc>
          <w:tcPr>
            <w:tcW w:w="2410" w:type="dxa"/>
            <w:vAlign w:val="center"/>
          </w:tcPr>
          <w:p w14:paraId="60FC6785" w14:textId="0C461F5C" w:rsidR="00770E1C" w:rsidRPr="00B40D29" w:rsidRDefault="00ED2F81"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4.0</w:t>
            </w:r>
          </w:p>
        </w:tc>
      </w:tr>
      <w:tr w:rsidR="003C74E6" w:rsidRPr="00B40D29" w14:paraId="45536687" w14:textId="77777777" w:rsidTr="004A501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34F0D94" w14:textId="794A6EA7" w:rsidR="00770E1C" w:rsidRPr="00B40D29" w:rsidRDefault="00770E1C" w:rsidP="002D5343">
            <w:pPr>
              <w:rPr>
                <w:b w:val="0"/>
                <w:bCs w:val="0"/>
                <w:sz w:val="20"/>
                <w:szCs w:val="20"/>
              </w:rPr>
            </w:pPr>
            <w:r w:rsidRPr="00B40D29">
              <w:rPr>
                <w:sz w:val="20"/>
                <w:szCs w:val="20"/>
              </w:rPr>
              <w:t>Maximum amount to be invested in non-specified investments</w:t>
            </w:r>
          </w:p>
        </w:tc>
        <w:tc>
          <w:tcPr>
            <w:tcW w:w="2410" w:type="dxa"/>
            <w:vAlign w:val="center"/>
          </w:tcPr>
          <w:p w14:paraId="2AC8A748" w14:textId="6AFD32BD" w:rsidR="00770E1C" w:rsidRPr="00B40D29" w:rsidRDefault="002400BF"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w:t>
            </w:r>
          </w:p>
        </w:tc>
        <w:tc>
          <w:tcPr>
            <w:tcW w:w="2410" w:type="dxa"/>
            <w:vAlign w:val="center"/>
          </w:tcPr>
          <w:p w14:paraId="6EC637B1" w14:textId="6AB1D187" w:rsidR="00770E1C" w:rsidRPr="00B40D29" w:rsidRDefault="00ED2F81"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7.0</w:t>
            </w:r>
          </w:p>
        </w:tc>
      </w:tr>
    </w:tbl>
    <w:p w14:paraId="7C3E6F63" w14:textId="569369F0" w:rsidR="00770E1C" w:rsidRPr="00B40D29" w:rsidRDefault="00770E1C" w:rsidP="0017003A">
      <w:pPr>
        <w:pStyle w:val="Heading2"/>
      </w:pPr>
      <w:r w:rsidRPr="00B40D29">
        <w:lastRenderedPageBreak/>
        <w:t>4.6</w:t>
      </w:r>
      <w:r w:rsidRPr="00B40D29">
        <w:tab/>
        <w:t>Investment Limits</w:t>
      </w:r>
    </w:p>
    <w:p w14:paraId="02442C05" w14:textId="7D9C726F" w:rsidR="00770E1C" w:rsidRDefault="00770E1C" w:rsidP="002D5343">
      <w:r w:rsidRPr="00B40D29">
        <w:t xml:space="preserve">The </w:t>
      </w:r>
      <w:r w:rsidR="00657EFA" w:rsidRPr="00B40D29">
        <w:t>Commissioner</w:t>
      </w:r>
      <w:r w:rsidRPr="00B40D29">
        <w:t>’s revenue reserve available to cover unforeseeable investment losses (the general reserve) is forecast to be £4.0</w:t>
      </w:r>
      <w:r w:rsidR="002158F0" w:rsidRPr="00B40D29">
        <w:t>3</w:t>
      </w:r>
      <w:r w:rsidR="00CD6C16" w:rsidRPr="00B40D29">
        <w:t xml:space="preserve">2 million on 31 </w:t>
      </w:r>
      <w:r w:rsidRPr="00B40D29">
        <w:t>March 20</w:t>
      </w:r>
      <w:r w:rsidR="00CD6C16" w:rsidRPr="00B40D29">
        <w:t>2</w:t>
      </w:r>
      <w:r w:rsidR="00762D23" w:rsidRPr="00B40D29">
        <w:t>3</w:t>
      </w:r>
      <w:r w:rsidRPr="00B40D29">
        <w:t xml:space="preserve">.  The maximum that will be lent to any one organisation (other than the UK Government) will be £3 million.  A group of banks under the same ownership will be treated as a single organisation for limit purposes.  Limits will also be placed on fund managers, investments in brokers’ nominee accounts, foreign </w:t>
      </w:r>
      <w:proofErr w:type="gramStart"/>
      <w:r w:rsidRPr="00B40D29">
        <w:t>countries</w:t>
      </w:r>
      <w:proofErr w:type="gramEnd"/>
      <w:r w:rsidRPr="00B40D29">
        <w:t xml:space="preserve"> and industry sectors as below. Investments in multilateral development banks do not count against the limit for any single foreign </w:t>
      </w:r>
      <w:proofErr w:type="gramStart"/>
      <w:r w:rsidRPr="00B40D29">
        <w:t>country, since</w:t>
      </w:r>
      <w:proofErr w:type="gramEnd"/>
      <w:r w:rsidRPr="00B40D29">
        <w:t xml:space="preserve"> the risk is diversified over many countries.</w:t>
      </w:r>
    </w:p>
    <w:p w14:paraId="442C77E1" w14:textId="78FFC6A8" w:rsidR="004C51C4" w:rsidRDefault="004C51C4" w:rsidP="002D5343"/>
    <w:p w14:paraId="0C596375" w14:textId="0368016F" w:rsidR="00770E1C" w:rsidRPr="00B40D29" w:rsidRDefault="00770E1C" w:rsidP="002D5343">
      <w:r w:rsidRPr="004A501B">
        <w:t xml:space="preserve">Table </w:t>
      </w:r>
      <w:r w:rsidR="00607EFC" w:rsidRPr="004A501B">
        <w:t>5</w:t>
      </w:r>
      <w:r w:rsidRPr="004A501B">
        <w:t xml:space="preserve">: </w:t>
      </w:r>
      <w:r w:rsidRPr="00B40D29">
        <w:t>Investment Limits</w:t>
      </w:r>
    </w:p>
    <w:tbl>
      <w:tblPr>
        <w:tblStyle w:val="GridTable4-Accent1"/>
        <w:tblW w:w="8363" w:type="dxa"/>
        <w:tblInd w:w="-5" w:type="dxa"/>
        <w:tblLook w:val="04A0" w:firstRow="1" w:lastRow="0" w:firstColumn="1" w:lastColumn="0" w:noHBand="0" w:noVBand="1"/>
      </w:tblPr>
      <w:tblGrid>
        <w:gridCol w:w="5077"/>
        <w:gridCol w:w="3286"/>
      </w:tblGrid>
      <w:tr w:rsidR="003C74E6" w:rsidRPr="00B40D29" w14:paraId="2C089C51" w14:textId="77777777" w:rsidTr="00E86BA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77" w:type="dxa"/>
            <w:vAlign w:val="center"/>
          </w:tcPr>
          <w:p w14:paraId="5C49365A" w14:textId="77777777" w:rsidR="00770E1C" w:rsidRPr="00B40D29" w:rsidRDefault="00770E1C" w:rsidP="002D5343">
            <w:pPr>
              <w:rPr>
                <w:sz w:val="20"/>
                <w:szCs w:val="20"/>
              </w:rPr>
            </w:pPr>
          </w:p>
        </w:tc>
        <w:tc>
          <w:tcPr>
            <w:tcW w:w="3286" w:type="dxa"/>
            <w:vAlign w:val="center"/>
          </w:tcPr>
          <w:p w14:paraId="5CE00967" w14:textId="77777777" w:rsidR="00770E1C" w:rsidRPr="00B40D29" w:rsidRDefault="00770E1C" w:rsidP="002D534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40D29">
              <w:rPr>
                <w:sz w:val="20"/>
                <w:szCs w:val="20"/>
              </w:rPr>
              <w:t>Cash limit</w:t>
            </w:r>
          </w:p>
          <w:p w14:paraId="7FB70A07" w14:textId="32CA741D" w:rsidR="00ED2F81" w:rsidRPr="00B40D29" w:rsidRDefault="00ED2F81" w:rsidP="002D5343">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B40D29">
              <w:rPr>
                <w:sz w:val="20"/>
                <w:szCs w:val="20"/>
              </w:rPr>
              <w:t>£m</w:t>
            </w:r>
          </w:p>
        </w:tc>
      </w:tr>
      <w:tr w:rsidR="003C74E6" w:rsidRPr="00B40D29" w14:paraId="393C3557" w14:textId="77777777" w:rsidTr="00E86BA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77" w:type="dxa"/>
            <w:vAlign w:val="center"/>
          </w:tcPr>
          <w:p w14:paraId="616186F2" w14:textId="7955F150" w:rsidR="00770E1C" w:rsidRPr="00B40D29" w:rsidRDefault="00770E1C" w:rsidP="002D5343">
            <w:pPr>
              <w:rPr>
                <w:b w:val="0"/>
                <w:bCs w:val="0"/>
                <w:sz w:val="20"/>
                <w:szCs w:val="20"/>
              </w:rPr>
            </w:pPr>
            <w:r w:rsidRPr="00B40D29">
              <w:rPr>
                <w:sz w:val="20"/>
                <w:szCs w:val="20"/>
              </w:rPr>
              <w:t>Any single organisation, except the UK Central Government</w:t>
            </w:r>
            <w:r w:rsidR="00ED2F81" w:rsidRPr="00B40D29">
              <w:rPr>
                <w:sz w:val="20"/>
                <w:szCs w:val="20"/>
              </w:rPr>
              <w:t xml:space="preserve"> (each)</w:t>
            </w:r>
          </w:p>
        </w:tc>
        <w:tc>
          <w:tcPr>
            <w:tcW w:w="3286" w:type="dxa"/>
            <w:vAlign w:val="center"/>
          </w:tcPr>
          <w:p w14:paraId="7582E29A" w14:textId="55276F3B" w:rsidR="00770E1C" w:rsidRPr="00B40D29" w:rsidRDefault="00ED2F81"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3.0</w:t>
            </w:r>
          </w:p>
        </w:tc>
      </w:tr>
      <w:tr w:rsidR="003C74E6" w:rsidRPr="00B40D29" w14:paraId="5A1EBBC4" w14:textId="77777777" w:rsidTr="00E86BA3">
        <w:trPr>
          <w:trHeight w:val="510"/>
        </w:trPr>
        <w:tc>
          <w:tcPr>
            <w:cnfStyle w:val="001000000000" w:firstRow="0" w:lastRow="0" w:firstColumn="1" w:lastColumn="0" w:oddVBand="0" w:evenVBand="0" w:oddHBand="0" w:evenHBand="0" w:firstRowFirstColumn="0" w:firstRowLastColumn="0" w:lastRowFirstColumn="0" w:lastRowLastColumn="0"/>
            <w:tcW w:w="5077" w:type="dxa"/>
            <w:vAlign w:val="center"/>
          </w:tcPr>
          <w:p w14:paraId="78645958" w14:textId="39F35DDD" w:rsidR="00770E1C" w:rsidRPr="00B40D29" w:rsidRDefault="00770E1C" w:rsidP="002D5343">
            <w:pPr>
              <w:rPr>
                <w:b w:val="0"/>
                <w:bCs w:val="0"/>
                <w:sz w:val="20"/>
                <w:szCs w:val="20"/>
              </w:rPr>
            </w:pPr>
            <w:r w:rsidRPr="00B40D29">
              <w:rPr>
                <w:sz w:val="20"/>
                <w:szCs w:val="20"/>
              </w:rPr>
              <w:t>Any group of organisations under the same ownership</w:t>
            </w:r>
            <w:r w:rsidR="00ED2F81" w:rsidRPr="00B40D29">
              <w:rPr>
                <w:sz w:val="20"/>
                <w:szCs w:val="20"/>
              </w:rPr>
              <w:t xml:space="preserve"> (per group)</w:t>
            </w:r>
          </w:p>
        </w:tc>
        <w:tc>
          <w:tcPr>
            <w:tcW w:w="3286" w:type="dxa"/>
            <w:vAlign w:val="center"/>
          </w:tcPr>
          <w:p w14:paraId="3CC48492" w14:textId="74CC7654" w:rsidR="00770E1C" w:rsidRPr="00B40D29" w:rsidRDefault="00ED2F81"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3.0</w:t>
            </w:r>
          </w:p>
        </w:tc>
      </w:tr>
      <w:tr w:rsidR="00A56B80" w:rsidRPr="00B40D29" w14:paraId="7BC6627C" w14:textId="77777777" w:rsidTr="00E86BA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77" w:type="dxa"/>
            <w:vAlign w:val="center"/>
          </w:tcPr>
          <w:p w14:paraId="1D81E89B" w14:textId="37F48DEB" w:rsidR="00A56B80" w:rsidRPr="00B40D29" w:rsidRDefault="00A56B80" w:rsidP="002D5343">
            <w:pPr>
              <w:rPr>
                <w:b w:val="0"/>
                <w:bCs w:val="0"/>
                <w:sz w:val="20"/>
                <w:szCs w:val="20"/>
              </w:rPr>
            </w:pPr>
            <w:r w:rsidRPr="00B40D29">
              <w:rPr>
                <w:sz w:val="20"/>
                <w:szCs w:val="20"/>
              </w:rPr>
              <w:t>Any group of pooled funds under the same management</w:t>
            </w:r>
            <w:r w:rsidR="00ED2F81" w:rsidRPr="00B40D29">
              <w:rPr>
                <w:sz w:val="20"/>
                <w:szCs w:val="20"/>
              </w:rPr>
              <w:t xml:space="preserve"> (per manager)</w:t>
            </w:r>
          </w:p>
        </w:tc>
        <w:tc>
          <w:tcPr>
            <w:tcW w:w="3286" w:type="dxa"/>
            <w:vAlign w:val="center"/>
          </w:tcPr>
          <w:p w14:paraId="1BC55123" w14:textId="2944D697" w:rsidR="00A56B80" w:rsidRPr="00B40D29" w:rsidRDefault="00A56B80"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8</w:t>
            </w:r>
            <w:r w:rsidR="00ED2F81" w:rsidRPr="00B40D29">
              <w:rPr>
                <w:sz w:val="20"/>
                <w:szCs w:val="20"/>
              </w:rPr>
              <w:t>.0</w:t>
            </w:r>
            <w:r w:rsidRPr="00B40D29">
              <w:rPr>
                <w:sz w:val="20"/>
                <w:szCs w:val="20"/>
              </w:rPr>
              <w:t xml:space="preserve"> </w:t>
            </w:r>
          </w:p>
        </w:tc>
      </w:tr>
      <w:tr w:rsidR="003C74E6" w:rsidRPr="00B40D29" w14:paraId="781F50DE" w14:textId="77777777" w:rsidTr="00E86BA3">
        <w:trPr>
          <w:trHeight w:val="510"/>
        </w:trPr>
        <w:tc>
          <w:tcPr>
            <w:cnfStyle w:val="001000000000" w:firstRow="0" w:lastRow="0" w:firstColumn="1" w:lastColumn="0" w:oddVBand="0" w:evenVBand="0" w:oddHBand="0" w:evenHBand="0" w:firstRowFirstColumn="0" w:firstRowLastColumn="0" w:lastRowFirstColumn="0" w:lastRowLastColumn="0"/>
            <w:tcW w:w="5077" w:type="dxa"/>
            <w:vAlign w:val="center"/>
          </w:tcPr>
          <w:p w14:paraId="6816292A" w14:textId="786995B3" w:rsidR="00770E1C" w:rsidRPr="00B40D29" w:rsidRDefault="00770E1C" w:rsidP="002D5343">
            <w:pPr>
              <w:rPr>
                <w:b w:val="0"/>
                <w:bCs w:val="0"/>
                <w:sz w:val="20"/>
                <w:szCs w:val="20"/>
              </w:rPr>
            </w:pPr>
            <w:r w:rsidRPr="00B40D29">
              <w:rPr>
                <w:sz w:val="20"/>
                <w:szCs w:val="20"/>
              </w:rPr>
              <w:t>Negotiable instruments held in a broker’s nominee account</w:t>
            </w:r>
            <w:r w:rsidR="00ED2F81" w:rsidRPr="00B40D29">
              <w:rPr>
                <w:sz w:val="20"/>
                <w:szCs w:val="20"/>
              </w:rPr>
              <w:t xml:space="preserve"> (per broker)</w:t>
            </w:r>
          </w:p>
        </w:tc>
        <w:tc>
          <w:tcPr>
            <w:tcW w:w="3286" w:type="dxa"/>
            <w:vAlign w:val="center"/>
          </w:tcPr>
          <w:p w14:paraId="35361DBB" w14:textId="6A671440" w:rsidR="00770E1C" w:rsidRPr="00B40D29" w:rsidRDefault="007229EB" w:rsidP="002D5343">
            <w:pPr>
              <w:cnfStyle w:val="000000000000" w:firstRow="0" w:lastRow="0" w:firstColumn="0" w:lastColumn="0" w:oddVBand="0" w:evenVBand="0" w:oddHBand="0" w:evenHBand="0" w:firstRowFirstColumn="0" w:firstRowLastColumn="0" w:lastRowFirstColumn="0" w:lastRowLastColumn="0"/>
              <w:rPr>
                <w:sz w:val="20"/>
                <w:szCs w:val="20"/>
              </w:rPr>
            </w:pPr>
            <w:r w:rsidRPr="00B40D29">
              <w:rPr>
                <w:sz w:val="20"/>
                <w:szCs w:val="20"/>
              </w:rPr>
              <w:t>8</w:t>
            </w:r>
            <w:r w:rsidR="00ED2F81" w:rsidRPr="00B40D29">
              <w:rPr>
                <w:sz w:val="20"/>
                <w:szCs w:val="20"/>
              </w:rPr>
              <w:t>.0</w:t>
            </w:r>
            <w:r w:rsidR="00770E1C" w:rsidRPr="00B40D29">
              <w:rPr>
                <w:sz w:val="20"/>
                <w:szCs w:val="20"/>
              </w:rPr>
              <w:t xml:space="preserve"> </w:t>
            </w:r>
          </w:p>
        </w:tc>
      </w:tr>
      <w:tr w:rsidR="003C74E6" w:rsidRPr="004A501B" w14:paraId="3FC1E6A8" w14:textId="77777777" w:rsidTr="00E86BA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77" w:type="dxa"/>
            <w:vAlign w:val="center"/>
          </w:tcPr>
          <w:p w14:paraId="646E4EDB" w14:textId="489B7DB5" w:rsidR="00770E1C" w:rsidRPr="00B40D29" w:rsidRDefault="00770E1C" w:rsidP="002D5343">
            <w:pPr>
              <w:rPr>
                <w:b w:val="0"/>
                <w:bCs w:val="0"/>
                <w:sz w:val="20"/>
                <w:szCs w:val="20"/>
              </w:rPr>
            </w:pPr>
            <w:r w:rsidRPr="00B40D29">
              <w:rPr>
                <w:sz w:val="20"/>
                <w:szCs w:val="20"/>
              </w:rPr>
              <w:t>Foreign countries</w:t>
            </w:r>
            <w:r w:rsidR="00ED2F81" w:rsidRPr="00B40D29">
              <w:rPr>
                <w:sz w:val="20"/>
                <w:szCs w:val="20"/>
              </w:rPr>
              <w:t xml:space="preserve"> (per country)</w:t>
            </w:r>
          </w:p>
        </w:tc>
        <w:tc>
          <w:tcPr>
            <w:tcW w:w="3286" w:type="dxa"/>
            <w:vAlign w:val="center"/>
          </w:tcPr>
          <w:p w14:paraId="76D40B49" w14:textId="62BD2A06" w:rsidR="00770E1C" w:rsidRPr="003C36D7" w:rsidRDefault="00A41A1C" w:rsidP="002D5343">
            <w:pPr>
              <w:cnfStyle w:val="000000100000" w:firstRow="0" w:lastRow="0" w:firstColumn="0" w:lastColumn="0" w:oddVBand="0" w:evenVBand="0" w:oddHBand="1" w:evenHBand="0" w:firstRowFirstColumn="0" w:firstRowLastColumn="0" w:lastRowFirstColumn="0" w:lastRowLastColumn="0"/>
              <w:rPr>
                <w:sz w:val="20"/>
                <w:szCs w:val="20"/>
              </w:rPr>
            </w:pPr>
            <w:r w:rsidRPr="00B40D29">
              <w:rPr>
                <w:sz w:val="20"/>
                <w:szCs w:val="20"/>
              </w:rPr>
              <w:t>3</w:t>
            </w:r>
            <w:r w:rsidR="00ED2F81" w:rsidRPr="00B40D29">
              <w:rPr>
                <w:sz w:val="20"/>
                <w:szCs w:val="20"/>
              </w:rPr>
              <w:t>.0</w:t>
            </w:r>
            <w:r w:rsidR="00770E1C" w:rsidRPr="003C36D7">
              <w:rPr>
                <w:sz w:val="20"/>
                <w:szCs w:val="20"/>
              </w:rPr>
              <w:t xml:space="preserve"> </w:t>
            </w:r>
          </w:p>
        </w:tc>
      </w:tr>
    </w:tbl>
    <w:p w14:paraId="6A600365" w14:textId="77777777" w:rsidR="00770E1C" w:rsidRPr="004A501B" w:rsidRDefault="00770E1C" w:rsidP="002D5343"/>
    <w:p w14:paraId="006F3374" w14:textId="77777777" w:rsidR="00770E1C" w:rsidRPr="004A501B" w:rsidRDefault="00770E1C" w:rsidP="0017003A">
      <w:pPr>
        <w:pStyle w:val="Heading2"/>
      </w:pPr>
      <w:r w:rsidRPr="004A501B">
        <w:t>4.7</w:t>
      </w:r>
      <w:r w:rsidRPr="004A501B">
        <w:tab/>
        <w:t>Liquidity Management</w:t>
      </w:r>
    </w:p>
    <w:p w14:paraId="4515A2FC" w14:textId="032D50C7" w:rsidR="00770E1C" w:rsidRPr="004A501B" w:rsidRDefault="005B1A24" w:rsidP="002D5343">
      <w:r w:rsidRPr="004A501B">
        <w:t>Detailed ca</w:t>
      </w:r>
      <w:r w:rsidR="00770E1C" w:rsidRPr="004A501B">
        <w:t>sh flow forecast</w:t>
      </w:r>
      <w:r w:rsidRPr="004A501B">
        <w:t xml:space="preserve">ing is undertaken to estimated </w:t>
      </w:r>
      <w:r w:rsidR="00770E1C" w:rsidRPr="004A501B">
        <w:t xml:space="preserve">cash flow position. This will be utilised to determine the maximum period for which funds may prudently be committed. This forecast is compiled on a prudent basis, with receipts under-estimated and payments over-estimated to minimise the risk of being </w:t>
      </w:r>
      <w:r w:rsidR="00ED2F81">
        <w:t>required</w:t>
      </w:r>
      <w:r w:rsidR="00ED2F81" w:rsidRPr="004A501B">
        <w:t xml:space="preserve"> </w:t>
      </w:r>
      <w:r w:rsidR="00770E1C" w:rsidRPr="004A501B">
        <w:t xml:space="preserve">to borrow on unfavourable terms to </w:t>
      </w:r>
      <w:proofErr w:type="gramStart"/>
      <w:r w:rsidR="00770E1C" w:rsidRPr="004A501B">
        <w:t>meet  financial</w:t>
      </w:r>
      <w:proofErr w:type="gramEnd"/>
      <w:r w:rsidR="00770E1C" w:rsidRPr="004A501B">
        <w:t xml:space="preserve"> commitments.</w:t>
      </w:r>
    </w:p>
    <w:p w14:paraId="6A1A8014" w14:textId="7C809E28" w:rsidR="00770E1C" w:rsidRPr="004A501B" w:rsidRDefault="00770E1C" w:rsidP="002D5343">
      <w:r w:rsidRPr="004A501B">
        <w:t xml:space="preserve">Limits on long-term investments are set by reference to the </w:t>
      </w:r>
      <w:r w:rsidR="00657EFA" w:rsidRPr="004A501B">
        <w:t>Commissioner</w:t>
      </w:r>
      <w:r w:rsidR="005B1A24" w:rsidRPr="004A501B">
        <w:t xml:space="preserve">’s Medium Term Financial </w:t>
      </w:r>
      <w:r w:rsidR="00ED2F81">
        <w:t>P</w:t>
      </w:r>
      <w:r w:rsidRPr="004A501B">
        <w:t>lan and cash flow forecast.</w:t>
      </w:r>
    </w:p>
    <w:p w14:paraId="2A3D2823" w14:textId="39AA6284" w:rsidR="00770E1C" w:rsidRPr="004A501B" w:rsidRDefault="00770E1C" w:rsidP="002D5343">
      <w:r w:rsidRPr="004A501B">
        <w:t>Investments are also made in T-bills and Certificates of Deposit which are liquid and can be sold in the secondary market if cash is required at short-term notice.</w:t>
      </w:r>
    </w:p>
    <w:p w14:paraId="07398954" w14:textId="4A36CA3F" w:rsidR="00770E1C" w:rsidRDefault="00770E1C" w:rsidP="002D5343">
      <w:r w:rsidRPr="004A501B">
        <w:t xml:space="preserve">All investments of over 13 months will require </w:t>
      </w:r>
      <w:r w:rsidR="006B0C6E" w:rsidRPr="004A501B">
        <w:t>C</w:t>
      </w:r>
      <w:r w:rsidR="0080793E">
        <w:t>FO</w:t>
      </w:r>
      <w:r w:rsidRPr="004A501B">
        <w:t xml:space="preserve"> approval in advance</w:t>
      </w:r>
      <w:r w:rsidR="00ED2F81">
        <w:t xml:space="preserve"> of being made</w:t>
      </w:r>
      <w:r w:rsidRPr="004A501B">
        <w:t>.</w:t>
      </w:r>
    </w:p>
    <w:p w14:paraId="67D48170" w14:textId="5E768F8F" w:rsidR="0017003A" w:rsidRDefault="0017003A" w:rsidP="002D5343"/>
    <w:p w14:paraId="64ECB867" w14:textId="721D763F" w:rsidR="004C51C4" w:rsidRDefault="004C51C4" w:rsidP="003C36D7">
      <w:pPr>
        <w:pStyle w:val="Heading1"/>
        <w:ind w:hanging="720"/>
      </w:pPr>
      <w:r>
        <w:lastRenderedPageBreak/>
        <w:t xml:space="preserve"> Treasury Management Indicators</w:t>
      </w:r>
    </w:p>
    <w:p w14:paraId="57F4B83D" w14:textId="6E559973" w:rsidR="00770E1C" w:rsidRPr="004A501B" w:rsidRDefault="005B1A24" w:rsidP="002D5343">
      <w:r w:rsidRPr="004A501B">
        <w:t>The Commissioner</w:t>
      </w:r>
      <w:r w:rsidR="00770E1C" w:rsidRPr="004A501B">
        <w:t xml:space="preserve"> measures and manages its exposures to treasury management risks using the following indicators.</w:t>
      </w:r>
    </w:p>
    <w:p w14:paraId="624CDB8B" w14:textId="77777777" w:rsidR="00770E1C" w:rsidRPr="004A501B" w:rsidRDefault="00770E1C" w:rsidP="0017003A">
      <w:pPr>
        <w:pStyle w:val="Heading2"/>
      </w:pPr>
      <w:r w:rsidRPr="004A501B">
        <w:t>5.1</w:t>
      </w:r>
      <w:r w:rsidRPr="004A501B">
        <w:tab/>
        <w:t>Security</w:t>
      </w:r>
    </w:p>
    <w:p w14:paraId="398F461A" w14:textId="5ADF5FF8" w:rsidR="00770E1C" w:rsidRPr="004A501B" w:rsidRDefault="00770E1C" w:rsidP="002D5343">
      <w:r w:rsidRPr="004A501B">
        <w:t xml:space="preserve">The </w:t>
      </w:r>
      <w:r w:rsidR="00657EFA" w:rsidRPr="004A501B">
        <w:t>Commissioner</w:t>
      </w:r>
      <w:r w:rsidRPr="004A501B">
        <w:t xml:space="preserve"> has adopted a voluntary measure of its exposure to credit risk by monitoring the value-weighted average credit rating </w:t>
      </w:r>
      <w:r w:rsidRPr="004A501B">
        <w:rPr>
          <w:i/>
        </w:rPr>
        <w:t xml:space="preserve">/ </w:t>
      </w:r>
      <w:r w:rsidRPr="003C36D7">
        <w:rPr>
          <w:iCs/>
        </w:rPr>
        <w:t>credit score</w:t>
      </w:r>
      <w:r w:rsidRPr="004A501B">
        <w:t xml:space="preserve"> of its investment portfolio.  This is calculated by applying a score to each investment (AAA=1, AA+=2, etc.) and taking the arithmetic average, weighted by the size of each investment. Unrated investments are assigned a score based on their perceived risk.</w:t>
      </w:r>
    </w:p>
    <w:tbl>
      <w:tblPr>
        <w:tblStyle w:val="GridTable4-Accent1"/>
        <w:tblW w:w="8363" w:type="dxa"/>
        <w:tblInd w:w="-5" w:type="dxa"/>
        <w:tblLook w:val="04A0" w:firstRow="1" w:lastRow="0" w:firstColumn="1" w:lastColumn="0" w:noHBand="0" w:noVBand="1"/>
      </w:tblPr>
      <w:tblGrid>
        <w:gridCol w:w="4464"/>
        <w:gridCol w:w="3899"/>
      </w:tblGrid>
      <w:tr w:rsidR="003C74E6" w:rsidRPr="004A501B" w14:paraId="75A74600" w14:textId="77777777" w:rsidTr="00E86BA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64" w:type="dxa"/>
            <w:vAlign w:val="center"/>
          </w:tcPr>
          <w:p w14:paraId="48812EC8" w14:textId="77777777" w:rsidR="00770E1C" w:rsidRPr="004A501B" w:rsidRDefault="00770E1C" w:rsidP="002D5343"/>
        </w:tc>
        <w:tc>
          <w:tcPr>
            <w:tcW w:w="3899" w:type="dxa"/>
            <w:vAlign w:val="center"/>
          </w:tcPr>
          <w:p w14:paraId="1EEC989B" w14:textId="77777777" w:rsidR="00770E1C" w:rsidRPr="004A501B" w:rsidRDefault="00770E1C" w:rsidP="002D5343">
            <w:pPr>
              <w:cnfStyle w:val="100000000000" w:firstRow="1" w:lastRow="0" w:firstColumn="0" w:lastColumn="0" w:oddVBand="0" w:evenVBand="0" w:oddHBand="0" w:evenHBand="0" w:firstRowFirstColumn="0" w:firstRowLastColumn="0" w:lastRowFirstColumn="0" w:lastRowLastColumn="0"/>
              <w:rPr>
                <w:b w:val="0"/>
                <w:bCs w:val="0"/>
              </w:rPr>
            </w:pPr>
            <w:r w:rsidRPr="004A501B">
              <w:t>Target</w:t>
            </w:r>
          </w:p>
        </w:tc>
      </w:tr>
      <w:tr w:rsidR="003C74E6" w:rsidRPr="004A501B" w14:paraId="52CFB7B7" w14:textId="77777777" w:rsidTr="00E86BA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464" w:type="dxa"/>
            <w:vAlign w:val="center"/>
          </w:tcPr>
          <w:p w14:paraId="2D356A15" w14:textId="77777777" w:rsidR="00770E1C" w:rsidRPr="004A501B" w:rsidRDefault="00770E1C" w:rsidP="002D5343">
            <w:pPr>
              <w:rPr>
                <w:b w:val="0"/>
                <w:bCs w:val="0"/>
              </w:rPr>
            </w:pPr>
            <w:r w:rsidRPr="004A501B">
              <w:t xml:space="preserve">Portfolio average credit rating </w:t>
            </w:r>
            <w:r w:rsidRPr="004A501B">
              <w:rPr>
                <w:i/>
              </w:rPr>
              <w:t xml:space="preserve">/ </w:t>
            </w:r>
            <w:r w:rsidRPr="004A501B">
              <w:t>score</w:t>
            </w:r>
          </w:p>
        </w:tc>
        <w:tc>
          <w:tcPr>
            <w:tcW w:w="3899" w:type="dxa"/>
            <w:vAlign w:val="center"/>
          </w:tcPr>
          <w:p w14:paraId="753379AC" w14:textId="77777777" w:rsidR="00770E1C" w:rsidRPr="004A501B" w:rsidRDefault="00770E1C" w:rsidP="00A01D3D">
            <w:pPr>
              <w:jc w:val="center"/>
              <w:cnfStyle w:val="000000100000" w:firstRow="0" w:lastRow="0" w:firstColumn="0" w:lastColumn="0" w:oddVBand="0" w:evenVBand="0" w:oddHBand="1" w:evenHBand="0" w:firstRowFirstColumn="0" w:firstRowLastColumn="0" w:lastRowFirstColumn="0" w:lastRowLastColumn="0"/>
            </w:pPr>
            <w:r w:rsidRPr="004A501B">
              <w:t>A / 6</w:t>
            </w:r>
          </w:p>
        </w:tc>
      </w:tr>
    </w:tbl>
    <w:p w14:paraId="11BD2646" w14:textId="77777777" w:rsidR="00771AF5" w:rsidRDefault="00771AF5" w:rsidP="0017003A">
      <w:pPr>
        <w:pStyle w:val="Heading2"/>
      </w:pPr>
    </w:p>
    <w:p w14:paraId="5C41AD99" w14:textId="0049292C" w:rsidR="00770E1C" w:rsidRPr="004A501B" w:rsidRDefault="00770E1C" w:rsidP="0017003A">
      <w:pPr>
        <w:pStyle w:val="Heading2"/>
      </w:pPr>
      <w:r w:rsidRPr="004A501B">
        <w:t>5.2</w:t>
      </w:r>
      <w:r w:rsidRPr="004A501B">
        <w:tab/>
        <w:t>Liquidity</w:t>
      </w:r>
    </w:p>
    <w:p w14:paraId="5EAD9F12" w14:textId="4EAFD443" w:rsidR="00770E1C" w:rsidRPr="004A501B" w:rsidRDefault="00770E1C" w:rsidP="002D5343">
      <w:r w:rsidRPr="004A501B">
        <w:t xml:space="preserve">The </w:t>
      </w:r>
      <w:r w:rsidR="00657EFA" w:rsidRPr="004A501B">
        <w:t>Commissioner</w:t>
      </w:r>
      <w:r w:rsidRPr="004A501B">
        <w:t xml:space="preserve"> has adopted a voluntary measure of its exposure to liquidity risk by monitoring the amount of cash available to meet unexpected payments within a rolling </w:t>
      </w:r>
      <w:proofErr w:type="gramStart"/>
      <w:r w:rsidRPr="004A501B">
        <w:t xml:space="preserve">three </w:t>
      </w:r>
      <w:r w:rsidR="0080793E">
        <w:t>m</w:t>
      </w:r>
      <w:r w:rsidRPr="004A501B">
        <w:t>onth</w:t>
      </w:r>
      <w:proofErr w:type="gramEnd"/>
      <w:r w:rsidRPr="004A501B">
        <w:t xml:space="preserve"> period, without additional borrowing.</w:t>
      </w:r>
    </w:p>
    <w:tbl>
      <w:tblPr>
        <w:tblStyle w:val="GridTable4-Accent1"/>
        <w:tblW w:w="8363" w:type="dxa"/>
        <w:tblInd w:w="-5" w:type="dxa"/>
        <w:tblLook w:val="04A0" w:firstRow="1" w:lastRow="0" w:firstColumn="1" w:lastColumn="0" w:noHBand="0" w:noVBand="1"/>
      </w:tblPr>
      <w:tblGrid>
        <w:gridCol w:w="4464"/>
        <w:gridCol w:w="3899"/>
      </w:tblGrid>
      <w:tr w:rsidR="003C74E6" w:rsidRPr="004A501B" w14:paraId="628C1A0F" w14:textId="77777777" w:rsidTr="00E86BA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64" w:type="dxa"/>
            <w:vAlign w:val="center"/>
          </w:tcPr>
          <w:p w14:paraId="45BC633C" w14:textId="77777777" w:rsidR="00770E1C" w:rsidRPr="004A501B" w:rsidRDefault="00770E1C" w:rsidP="002D5343"/>
        </w:tc>
        <w:tc>
          <w:tcPr>
            <w:tcW w:w="3899" w:type="dxa"/>
            <w:vAlign w:val="center"/>
          </w:tcPr>
          <w:p w14:paraId="016E87E6" w14:textId="77777777" w:rsidR="00770E1C" w:rsidRDefault="00770E1C" w:rsidP="002D5343">
            <w:pPr>
              <w:cnfStyle w:val="100000000000" w:firstRow="1" w:lastRow="0" w:firstColumn="0" w:lastColumn="0" w:oddVBand="0" w:evenVBand="0" w:oddHBand="0" w:evenHBand="0" w:firstRowFirstColumn="0" w:firstRowLastColumn="0" w:lastRowFirstColumn="0" w:lastRowLastColumn="0"/>
              <w:rPr>
                <w:b w:val="0"/>
                <w:bCs w:val="0"/>
              </w:rPr>
            </w:pPr>
            <w:r w:rsidRPr="004A501B">
              <w:t>Target</w:t>
            </w:r>
          </w:p>
          <w:p w14:paraId="6737CBA3" w14:textId="7EB2EEDA" w:rsidR="00ED2F81" w:rsidRPr="004A501B" w:rsidRDefault="00ED2F81" w:rsidP="002D5343">
            <w:pPr>
              <w:cnfStyle w:val="100000000000" w:firstRow="1" w:lastRow="0" w:firstColumn="0" w:lastColumn="0" w:oddVBand="0" w:evenVBand="0" w:oddHBand="0" w:evenHBand="0" w:firstRowFirstColumn="0" w:firstRowLastColumn="0" w:lastRowFirstColumn="0" w:lastRowLastColumn="0"/>
              <w:rPr>
                <w:bCs w:val="0"/>
              </w:rPr>
            </w:pPr>
            <w:r>
              <w:t>£m</w:t>
            </w:r>
          </w:p>
        </w:tc>
      </w:tr>
      <w:tr w:rsidR="003C74E6" w:rsidRPr="004A501B" w14:paraId="1EF4AEC2" w14:textId="77777777" w:rsidTr="00E86BA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64" w:type="dxa"/>
            <w:vAlign w:val="center"/>
          </w:tcPr>
          <w:p w14:paraId="33FD8DF8" w14:textId="6D24DB8C" w:rsidR="00966D2A" w:rsidRPr="004A501B" w:rsidRDefault="00966D2A" w:rsidP="002D5343">
            <w:r w:rsidRPr="004A501B">
              <w:t>Minimum within money-market funds</w:t>
            </w:r>
          </w:p>
        </w:tc>
        <w:tc>
          <w:tcPr>
            <w:tcW w:w="3899" w:type="dxa"/>
            <w:vAlign w:val="center"/>
          </w:tcPr>
          <w:p w14:paraId="213C3CC9" w14:textId="26B93FA8" w:rsidR="00966D2A" w:rsidRPr="004A501B" w:rsidRDefault="00ED2F81" w:rsidP="00A01D3D">
            <w:pPr>
              <w:jc w:val="center"/>
              <w:cnfStyle w:val="000000100000" w:firstRow="0" w:lastRow="0" w:firstColumn="0" w:lastColumn="0" w:oddVBand="0" w:evenVBand="0" w:oddHBand="1" w:evenHBand="0" w:firstRowFirstColumn="0" w:firstRowLastColumn="0" w:lastRowFirstColumn="0" w:lastRowLastColumn="0"/>
            </w:pPr>
            <w:r>
              <w:t>2.0</w:t>
            </w:r>
          </w:p>
        </w:tc>
      </w:tr>
      <w:tr w:rsidR="003C74E6" w:rsidRPr="004A501B" w14:paraId="3DC5F003" w14:textId="77777777" w:rsidTr="00E86BA3">
        <w:trPr>
          <w:trHeight w:val="510"/>
        </w:trPr>
        <w:tc>
          <w:tcPr>
            <w:cnfStyle w:val="001000000000" w:firstRow="0" w:lastRow="0" w:firstColumn="1" w:lastColumn="0" w:oddVBand="0" w:evenVBand="0" w:oddHBand="0" w:evenHBand="0" w:firstRowFirstColumn="0" w:firstRowLastColumn="0" w:lastRowFirstColumn="0" w:lastRowLastColumn="0"/>
            <w:tcW w:w="4464" w:type="dxa"/>
            <w:vAlign w:val="center"/>
          </w:tcPr>
          <w:p w14:paraId="33D0963B" w14:textId="77777777" w:rsidR="00770E1C" w:rsidRPr="004A501B" w:rsidRDefault="00770E1C" w:rsidP="002D5343">
            <w:pPr>
              <w:rPr>
                <w:b w:val="0"/>
                <w:bCs w:val="0"/>
              </w:rPr>
            </w:pPr>
            <w:r w:rsidRPr="004A501B">
              <w:t>Total cash available within 3 months</w:t>
            </w:r>
          </w:p>
        </w:tc>
        <w:tc>
          <w:tcPr>
            <w:tcW w:w="3899" w:type="dxa"/>
            <w:vAlign w:val="center"/>
          </w:tcPr>
          <w:p w14:paraId="642014AC" w14:textId="2BCBE8F9" w:rsidR="00770E1C" w:rsidRPr="004A501B" w:rsidRDefault="00ED2F81" w:rsidP="00A01D3D">
            <w:pPr>
              <w:jc w:val="center"/>
              <w:cnfStyle w:val="000000000000" w:firstRow="0" w:lastRow="0" w:firstColumn="0" w:lastColumn="0" w:oddVBand="0" w:evenVBand="0" w:oddHBand="0" w:evenHBand="0" w:firstRowFirstColumn="0" w:firstRowLastColumn="0" w:lastRowFirstColumn="0" w:lastRowLastColumn="0"/>
              <w:rPr>
                <w:bCs/>
              </w:rPr>
            </w:pPr>
            <w:r>
              <w:t>4.0</w:t>
            </w:r>
          </w:p>
        </w:tc>
      </w:tr>
    </w:tbl>
    <w:p w14:paraId="329B0630" w14:textId="77777777" w:rsidR="00771AF5" w:rsidRDefault="00771AF5" w:rsidP="002D5343">
      <w:pPr>
        <w:rPr>
          <w:b/>
          <w:bCs/>
        </w:rPr>
      </w:pPr>
    </w:p>
    <w:p w14:paraId="3C5568EE" w14:textId="0D34833A" w:rsidR="00770E1C" w:rsidRPr="0017003A" w:rsidRDefault="00770E1C" w:rsidP="002D5343">
      <w:pPr>
        <w:rPr>
          <w:b/>
          <w:bCs/>
        </w:rPr>
      </w:pPr>
      <w:r w:rsidRPr="0017003A">
        <w:rPr>
          <w:b/>
          <w:bCs/>
        </w:rPr>
        <w:t>5.3</w:t>
      </w:r>
      <w:r w:rsidRPr="0017003A">
        <w:rPr>
          <w:b/>
          <w:bCs/>
        </w:rPr>
        <w:tab/>
        <w:t>Interest Rate Exposures</w:t>
      </w:r>
    </w:p>
    <w:p w14:paraId="33A738E5" w14:textId="2F255BF2" w:rsidR="00770E1C" w:rsidRPr="004A501B" w:rsidRDefault="00CD6C16" w:rsidP="002D5343">
      <w:r w:rsidRPr="004A501B">
        <w:t>T</w:t>
      </w:r>
      <w:r w:rsidR="00770E1C" w:rsidRPr="004A501B">
        <w:t xml:space="preserve">his indicator is set to control the </w:t>
      </w:r>
      <w:r w:rsidR="00657EFA" w:rsidRPr="004A501B">
        <w:t>Commissioner</w:t>
      </w:r>
      <w:r w:rsidR="00770E1C" w:rsidRPr="004A501B">
        <w:t>’s exposure to interest rate risk.  The upper limits on fixed and variable rate interest rate exposures, expressed as the account of net principal borrowed. (Investments coun</w:t>
      </w:r>
      <w:r w:rsidRPr="004A501B">
        <w:t>t as negative borrowing.)</w:t>
      </w:r>
    </w:p>
    <w:tbl>
      <w:tblPr>
        <w:tblStyle w:val="GridTable4-Accent1"/>
        <w:tblW w:w="8929" w:type="dxa"/>
        <w:tblInd w:w="-5" w:type="dxa"/>
        <w:tblLayout w:type="fixed"/>
        <w:tblLook w:val="04A0" w:firstRow="1" w:lastRow="0" w:firstColumn="1" w:lastColumn="0" w:noHBand="0" w:noVBand="1"/>
      </w:tblPr>
      <w:tblGrid>
        <w:gridCol w:w="5529"/>
        <w:gridCol w:w="1134"/>
        <w:gridCol w:w="1134"/>
        <w:gridCol w:w="1132"/>
      </w:tblGrid>
      <w:tr w:rsidR="003C74E6" w:rsidRPr="004A501B" w14:paraId="35267386" w14:textId="77777777" w:rsidTr="003C3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313E7924" w14:textId="77777777" w:rsidR="00CD6C16" w:rsidRPr="004A501B" w:rsidRDefault="00CD6C16" w:rsidP="002D5343"/>
        </w:tc>
        <w:tc>
          <w:tcPr>
            <w:tcW w:w="1134" w:type="dxa"/>
            <w:vAlign w:val="center"/>
          </w:tcPr>
          <w:p w14:paraId="7336B6F6" w14:textId="5F540D3F" w:rsidR="00CD6C16" w:rsidRPr="004A501B" w:rsidRDefault="00CD6C16" w:rsidP="002D5343">
            <w:pPr>
              <w:cnfStyle w:val="100000000000" w:firstRow="1" w:lastRow="0" w:firstColumn="0" w:lastColumn="0" w:oddVBand="0" w:evenVBand="0" w:oddHBand="0" w:evenHBand="0" w:firstRowFirstColumn="0" w:firstRowLastColumn="0" w:lastRowFirstColumn="0" w:lastRowLastColumn="0"/>
              <w:rPr>
                <w:b w:val="0"/>
                <w:bCs w:val="0"/>
              </w:rPr>
            </w:pPr>
            <w:r w:rsidRPr="004A501B">
              <w:t>202</w:t>
            </w:r>
            <w:r w:rsidR="000568AC">
              <w:t>3</w:t>
            </w:r>
            <w:r w:rsidRPr="004A501B">
              <w:t>/2</w:t>
            </w:r>
            <w:r w:rsidR="000568AC">
              <w:t>4</w:t>
            </w:r>
          </w:p>
        </w:tc>
        <w:tc>
          <w:tcPr>
            <w:tcW w:w="1134" w:type="dxa"/>
            <w:vAlign w:val="center"/>
          </w:tcPr>
          <w:p w14:paraId="1515FAF9" w14:textId="656A56EE" w:rsidR="00CD6C16" w:rsidRPr="004A501B" w:rsidRDefault="00773DA0" w:rsidP="002D5343">
            <w:pPr>
              <w:cnfStyle w:val="100000000000" w:firstRow="1" w:lastRow="0" w:firstColumn="0" w:lastColumn="0" w:oddVBand="0" w:evenVBand="0" w:oddHBand="0" w:evenHBand="0" w:firstRowFirstColumn="0" w:firstRowLastColumn="0" w:lastRowFirstColumn="0" w:lastRowLastColumn="0"/>
              <w:rPr>
                <w:b w:val="0"/>
                <w:bCs w:val="0"/>
              </w:rPr>
            </w:pPr>
            <w:r w:rsidRPr="004A501B">
              <w:t>202</w:t>
            </w:r>
            <w:r w:rsidR="000568AC">
              <w:t>4</w:t>
            </w:r>
            <w:r w:rsidRPr="004A501B">
              <w:t>/2</w:t>
            </w:r>
            <w:r w:rsidR="000568AC">
              <w:t>5</w:t>
            </w:r>
          </w:p>
        </w:tc>
        <w:tc>
          <w:tcPr>
            <w:tcW w:w="1132" w:type="dxa"/>
            <w:vAlign w:val="center"/>
          </w:tcPr>
          <w:p w14:paraId="44BA2CA6" w14:textId="7073906E" w:rsidR="00CD6C16" w:rsidRPr="004A501B" w:rsidRDefault="00CD6C16" w:rsidP="002D5343">
            <w:pPr>
              <w:cnfStyle w:val="100000000000" w:firstRow="1" w:lastRow="0" w:firstColumn="0" w:lastColumn="0" w:oddVBand="0" w:evenVBand="0" w:oddHBand="0" w:evenHBand="0" w:firstRowFirstColumn="0" w:firstRowLastColumn="0" w:lastRowFirstColumn="0" w:lastRowLastColumn="0"/>
            </w:pPr>
            <w:r w:rsidRPr="004A501B">
              <w:t>202</w:t>
            </w:r>
            <w:r w:rsidR="000568AC">
              <w:t>5</w:t>
            </w:r>
            <w:r w:rsidRPr="004A501B">
              <w:t>/2</w:t>
            </w:r>
            <w:r w:rsidR="000568AC">
              <w:t>6</w:t>
            </w:r>
          </w:p>
        </w:tc>
      </w:tr>
      <w:tr w:rsidR="003C74E6" w:rsidRPr="004A501B" w14:paraId="1CBAA1F3" w14:textId="77777777" w:rsidTr="003C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33EDBC4F" w14:textId="77777777" w:rsidR="00CD6C16" w:rsidRPr="004A501B" w:rsidRDefault="00CD6C16" w:rsidP="002D5343">
            <w:pPr>
              <w:rPr>
                <w:b w:val="0"/>
                <w:bCs w:val="0"/>
              </w:rPr>
            </w:pPr>
            <w:r w:rsidRPr="004A501B">
              <w:t>Upper limit on fixed interest rate exposure</w:t>
            </w:r>
          </w:p>
        </w:tc>
        <w:tc>
          <w:tcPr>
            <w:tcW w:w="1134" w:type="dxa"/>
            <w:vAlign w:val="center"/>
          </w:tcPr>
          <w:p w14:paraId="5A1FD349" w14:textId="22012A38" w:rsidR="00CD6C16" w:rsidRPr="004A501B" w:rsidRDefault="00966D2A" w:rsidP="00A01D3D">
            <w:pPr>
              <w:jc w:val="center"/>
              <w:cnfStyle w:val="000000100000" w:firstRow="0" w:lastRow="0" w:firstColumn="0" w:lastColumn="0" w:oddVBand="0" w:evenVBand="0" w:oddHBand="1" w:evenHBand="0" w:firstRowFirstColumn="0" w:firstRowLastColumn="0" w:lastRowFirstColumn="0" w:lastRowLastColumn="0"/>
            </w:pPr>
            <w:r w:rsidRPr="004A501B">
              <w:t>100</w:t>
            </w:r>
            <w:r w:rsidR="00497911" w:rsidRPr="004A501B">
              <w:t>%</w:t>
            </w:r>
          </w:p>
        </w:tc>
        <w:tc>
          <w:tcPr>
            <w:tcW w:w="1134" w:type="dxa"/>
            <w:vAlign w:val="center"/>
          </w:tcPr>
          <w:p w14:paraId="11F97B2D" w14:textId="4EF1FF66" w:rsidR="00CD6C16" w:rsidRPr="004A501B" w:rsidRDefault="00497911" w:rsidP="00A01D3D">
            <w:pPr>
              <w:jc w:val="center"/>
              <w:cnfStyle w:val="000000100000" w:firstRow="0" w:lastRow="0" w:firstColumn="0" w:lastColumn="0" w:oddVBand="0" w:evenVBand="0" w:oddHBand="1" w:evenHBand="0" w:firstRowFirstColumn="0" w:firstRowLastColumn="0" w:lastRowFirstColumn="0" w:lastRowLastColumn="0"/>
            </w:pPr>
            <w:r w:rsidRPr="004A501B">
              <w:t>100%</w:t>
            </w:r>
          </w:p>
        </w:tc>
        <w:tc>
          <w:tcPr>
            <w:tcW w:w="1132" w:type="dxa"/>
            <w:vAlign w:val="center"/>
          </w:tcPr>
          <w:p w14:paraId="425DEDA1" w14:textId="02CC1877" w:rsidR="00CD6C16" w:rsidRPr="004A501B" w:rsidRDefault="00497911" w:rsidP="00A01D3D">
            <w:pPr>
              <w:jc w:val="center"/>
              <w:cnfStyle w:val="000000100000" w:firstRow="0" w:lastRow="0" w:firstColumn="0" w:lastColumn="0" w:oddVBand="0" w:evenVBand="0" w:oddHBand="1" w:evenHBand="0" w:firstRowFirstColumn="0" w:firstRowLastColumn="0" w:lastRowFirstColumn="0" w:lastRowLastColumn="0"/>
            </w:pPr>
            <w:r w:rsidRPr="004A501B">
              <w:t>100%</w:t>
            </w:r>
          </w:p>
        </w:tc>
      </w:tr>
      <w:tr w:rsidR="003C74E6" w:rsidRPr="004A501B" w14:paraId="09FE6574" w14:textId="77777777" w:rsidTr="003C36D7">
        <w:trPr>
          <w:trHeight w:val="567"/>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3EE396EF" w14:textId="77777777" w:rsidR="00CD6C16" w:rsidRPr="004A501B" w:rsidRDefault="00CD6C16" w:rsidP="002D5343">
            <w:pPr>
              <w:rPr>
                <w:b w:val="0"/>
                <w:bCs w:val="0"/>
              </w:rPr>
            </w:pPr>
            <w:r w:rsidRPr="004A501B">
              <w:t>Upper limit on variable interest rate exposure</w:t>
            </w:r>
          </w:p>
        </w:tc>
        <w:tc>
          <w:tcPr>
            <w:tcW w:w="1134" w:type="dxa"/>
            <w:vAlign w:val="center"/>
          </w:tcPr>
          <w:p w14:paraId="690BA9C8" w14:textId="0F2E56E9" w:rsidR="00CD6C16" w:rsidRPr="004A501B" w:rsidRDefault="00497911" w:rsidP="00A01D3D">
            <w:pPr>
              <w:jc w:val="center"/>
              <w:cnfStyle w:val="000000000000" w:firstRow="0" w:lastRow="0" w:firstColumn="0" w:lastColumn="0" w:oddVBand="0" w:evenVBand="0" w:oddHBand="0" w:evenHBand="0" w:firstRowFirstColumn="0" w:firstRowLastColumn="0" w:lastRowFirstColumn="0" w:lastRowLastColumn="0"/>
            </w:pPr>
            <w:r w:rsidRPr="004A501B">
              <w:t>100%</w:t>
            </w:r>
          </w:p>
        </w:tc>
        <w:tc>
          <w:tcPr>
            <w:tcW w:w="1134" w:type="dxa"/>
            <w:vAlign w:val="center"/>
          </w:tcPr>
          <w:p w14:paraId="7F7D5CF5" w14:textId="5D90AE15" w:rsidR="00CD6C16" w:rsidRPr="004A501B" w:rsidRDefault="00497911" w:rsidP="00A01D3D">
            <w:pPr>
              <w:jc w:val="center"/>
              <w:cnfStyle w:val="000000000000" w:firstRow="0" w:lastRow="0" w:firstColumn="0" w:lastColumn="0" w:oddVBand="0" w:evenVBand="0" w:oddHBand="0" w:evenHBand="0" w:firstRowFirstColumn="0" w:firstRowLastColumn="0" w:lastRowFirstColumn="0" w:lastRowLastColumn="0"/>
            </w:pPr>
            <w:r w:rsidRPr="004A501B">
              <w:t>100%</w:t>
            </w:r>
          </w:p>
        </w:tc>
        <w:tc>
          <w:tcPr>
            <w:tcW w:w="1132" w:type="dxa"/>
            <w:vAlign w:val="center"/>
          </w:tcPr>
          <w:p w14:paraId="3C221662" w14:textId="2845332F" w:rsidR="00CD6C16" w:rsidRPr="004A501B" w:rsidRDefault="00497911" w:rsidP="00A01D3D">
            <w:pPr>
              <w:jc w:val="center"/>
              <w:cnfStyle w:val="000000000000" w:firstRow="0" w:lastRow="0" w:firstColumn="0" w:lastColumn="0" w:oddVBand="0" w:evenVBand="0" w:oddHBand="0" w:evenHBand="0" w:firstRowFirstColumn="0" w:firstRowLastColumn="0" w:lastRowFirstColumn="0" w:lastRowLastColumn="0"/>
            </w:pPr>
            <w:r w:rsidRPr="004A501B">
              <w:t>100%</w:t>
            </w:r>
          </w:p>
        </w:tc>
      </w:tr>
    </w:tbl>
    <w:p w14:paraId="193820B8" w14:textId="6F4FF800" w:rsidR="00B82D9B" w:rsidRDefault="00770E1C" w:rsidP="002D5343">
      <w:r w:rsidRPr="004A501B">
        <w:t>Fixed rate investments and borrowings are those where the rate of interest is fixed for at least 12 months, measured from the start of the financial year or the transaction date if later.  All other instruments are classed as variable rate.</w:t>
      </w:r>
    </w:p>
    <w:p w14:paraId="50C884C2" w14:textId="77777777" w:rsidR="00771AF5" w:rsidRDefault="00771AF5" w:rsidP="002D5343">
      <w:pPr>
        <w:rPr>
          <w:b/>
          <w:bCs/>
        </w:rPr>
      </w:pPr>
    </w:p>
    <w:p w14:paraId="532EF7AB" w14:textId="00DF62FD" w:rsidR="00770E1C" w:rsidRPr="00B40D29" w:rsidRDefault="0080793E" w:rsidP="002D5343">
      <w:pPr>
        <w:rPr>
          <w:b/>
          <w:bCs/>
        </w:rPr>
      </w:pPr>
      <w:r>
        <w:rPr>
          <w:b/>
          <w:bCs/>
        </w:rPr>
        <w:lastRenderedPageBreak/>
        <w:br/>
      </w:r>
      <w:r w:rsidR="00770E1C" w:rsidRPr="00B40D29">
        <w:rPr>
          <w:b/>
          <w:bCs/>
        </w:rPr>
        <w:t>5.4</w:t>
      </w:r>
      <w:r w:rsidR="00770E1C" w:rsidRPr="00B40D29">
        <w:rPr>
          <w:b/>
          <w:bCs/>
        </w:rPr>
        <w:tab/>
        <w:t xml:space="preserve">Maturity Structure of </w:t>
      </w:r>
      <w:r w:rsidR="004B1B91" w:rsidRPr="00B40D29">
        <w:rPr>
          <w:b/>
          <w:bCs/>
        </w:rPr>
        <w:t>Borrowing</w:t>
      </w:r>
    </w:p>
    <w:p w14:paraId="4BE0364F" w14:textId="442EB5A6" w:rsidR="00770E1C" w:rsidRPr="00B40D29" w:rsidRDefault="00770E1C" w:rsidP="002D5343">
      <w:r w:rsidRPr="00B40D29">
        <w:t xml:space="preserve">This indicator is set to control the </w:t>
      </w:r>
      <w:r w:rsidR="00657EFA" w:rsidRPr="00B40D29">
        <w:t>Commissioner</w:t>
      </w:r>
      <w:r w:rsidRPr="00B40D29">
        <w:t xml:space="preserve">’s exposure to refinancing risk. The upper and lower limits on the maturity </w:t>
      </w:r>
      <w:r w:rsidRPr="00D91423">
        <w:t>structure of fixed rate</w:t>
      </w:r>
      <w:r w:rsidRPr="00B40D29">
        <w:t xml:space="preserve"> borrowing will be:</w:t>
      </w:r>
    </w:p>
    <w:tbl>
      <w:tblPr>
        <w:tblStyle w:val="GridTable4-Accent1"/>
        <w:tblW w:w="0" w:type="auto"/>
        <w:tblInd w:w="-5" w:type="dxa"/>
        <w:tblLook w:val="04A0" w:firstRow="1" w:lastRow="0" w:firstColumn="1" w:lastColumn="0" w:noHBand="0" w:noVBand="1"/>
      </w:tblPr>
      <w:tblGrid>
        <w:gridCol w:w="5387"/>
        <w:gridCol w:w="852"/>
        <w:gridCol w:w="864"/>
      </w:tblGrid>
      <w:tr w:rsidR="003C74E6" w:rsidRPr="00B40D29" w14:paraId="68C08A0C" w14:textId="77777777" w:rsidTr="003C3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87" w:type="dxa"/>
            <w:vAlign w:val="center"/>
          </w:tcPr>
          <w:p w14:paraId="739050B5" w14:textId="77777777" w:rsidR="00770E1C" w:rsidRPr="00B40D29" w:rsidRDefault="00770E1C" w:rsidP="002D5343"/>
        </w:tc>
        <w:tc>
          <w:tcPr>
            <w:tcW w:w="0" w:type="dxa"/>
            <w:vAlign w:val="center"/>
          </w:tcPr>
          <w:p w14:paraId="0275320F" w14:textId="77777777" w:rsidR="00770E1C" w:rsidRPr="00B40D29" w:rsidRDefault="00770E1C" w:rsidP="002D5343">
            <w:pPr>
              <w:cnfStyle w:val="100000000000" w:firstRow="1" w:lastRow="0" w:firstColumn="0" w:lastColumn="0" w:oddVBand="0" w:evenVBand="0" w:oddHBand="0" w:evenHBand="0" w:firstRowFirstColumn="0" w:firstRowLastColumn="0" w:lastRowFirstColumn="0" w:lastRowLastColumn="0"/>
              <w:rPr>
                <w:b w:val="0"/>
                <w:bCs w:val="0"/>
              </w:rPr>
            </w:pPr>
            <w:r w:rsidRPr="00B40D29">
              <w:t>Upper</w:t>
            </w:r>
          </w:p>
        </w:tc>
        <w:tc>
          <w:tcPr>
            <w:tcW w:w="0" w:type="dxa"/>
            <w:vAlign w:val="center"/>
          </w:tcPr>
          <w:p w14:paraId="650E1821" w14:textId="77777777" w:rsidR="00770E1C" w:rsidRPr="00B40D29" w:rsidRDefault="00770E1C" w:rsidP="002D5343">
            <w:pPr>
              <w:cnfStyle w:val="100000000000" w:firstRow="1" w:lastRow="0" w:firstColumn="0" w:lastColumn="0" w:oddVBand="0" w:evenVBand="0" w:oddHBand="0" w:evenHBand="0" w:firstRowFirstColumn="0" w:firstRowLastColumn="0" w:lastRowFirstColumn="0" w:lastRowLastColumn="0"/>
              <w:rPr>
                <w:b w:val="0"/>
                <w:bCs w:val="0"/>
              </w:rPr>
            </w:pPr>
            <w:r w:rsidRPr="00B40D29">
              <w:t>Lower</w:t>
            </w:r>
          </w:p>
        </w:tc>
      </w:tr>
      <w:tr w:rsidR="003C74E6" w:rsidRPr="00B40D29" w14:paraId="79B43CCC" w14:textId="77777777" w:rsidTr="003C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87" w:type="dxa"/>
            <w:vAlign w:val="center"/>
          </w:tcPr>
          <w:p w14:paraId="3D7CD9F5" w14:textId="77777777" w:rsidR="00770E1C" w:rsidRPr="00B40D29" w:rsidRDefault="00770E1C" w:rsidP="002D5343">
            <w:pPr>
              <w:rPr>
                <w:b w:val="0"/>
                <w:bCs w:val="0"/>
              </w:rPr>
            </w:pPr>
            <w:r w:rsidRPr="00B40D29">
              <w:t>Under 12 months</w:t>
            </w:r>
          </w:p>
        </w:tc>
        <w:tc>
          <w:tcPr>
            <w:tcW w:w="0" w:type="dxa"/>
            <w:vAlign w:val="center"/>
          </w:tcPr>
          <w:p w14:paraId="79C25F8C" w14:textId="5230BB84" w:rsidR="00770E1C" w:rsidRPr="00B40D29" w:rsidRDefault="00497911" w:rsidP="00A01D3D">
            <w:pPr>
              <w:jc w:val="center"/>
              <w:cnfStyle w:val="000000100000" w:firstRow="0" w:lastRow="0" w:firstColumn="0" w:lastColumn="0" w:oddVBand="0" w:evenVBand="0" w:oddHBand="1" w:evenHBand="0" w:firstRowFirstColumn="0" w:firstRowLastColumn="0" w:lastRowFirstColumn="0" w:lastRowLastColumn="0"/>
            </w:pPr>
            <w:r w:rsidRPr="00B40D29">
              <w:t>100%</w:t>
            </w:r>
          </w:p>
        </w:tc>
        <w:tc>
          <w:tcPr>
            <w:tcW w:w="0" w:type="dxa"/>
            <w:vAlign w:val="center"/>
          </w:tcPr>
          <w:p w14:paraId="30D86C01" w14:textId="77777777" w:rsidR="00770E1C" w:rsidRPr="00B40D29" w:rsidRDefault="00770E1C" w:rsidP="00A01D3D">
            <w:pPr>
              <w:jc w:val="center"/>
              <w:cnfStyle w:val="000000100000" w:firstRow="0" w:lastRow="0" w:firstColumn="0" w:lastColumn="0" w:oddVBand="0" w:evenVBand="0" w:oddHBand="1" w:evenHBand="0" w:firstRowFirstColumn="0" w:firstRowLastColumn="0" w:lastRowFirstColumn="0" w:lastRowLastColumn="0"/>
            </w:pPr>
            <w:r w:rsidRPr="00B40D29">
              <w:t>0%</w:t>
            </w:r>
          </w:p>
        </w:tc>
      </w:tr>
      <w:tr w:rsidR="003C74E6" w:rsidRPr="00B40D29" w14:paraId="12C5EFE3" w14:textId="77777777" w:rsidTr="003C36D7">
        <w:trPr>
          <w:trHeight w:val="454"/>
        </w:trPr>
        <w:tc>
          <w:tcPr>
            <w:cnfStyle w:val="001000000000" w:firstRow="0" w:lastRow="0" w:firstColumn="1" w:lastColumn="0" w:oddVBand="0" w:evenVBand="0" w:oddHBand="0" w:evenHBand="0" w:firstRowFirstColumn="0" w:firstRowLastColumn="0" w:lastRowFirstColumn="0" w:lastRowLastColumn="0"/>
            <w:tcW w:w="5387" w:type="dxa"/>
            <w:vAlign w:val="center"/>
          </w:tcPr>
          <w:p w14:paraId="128D6788" w14:textId="77777777" w:rsidR="00770E1C" w:rsidRPr="00B40D29" w:rsidRDefault="00770E1C" w:rsidP="002D5343">
            <w:pPr>
              <w:rPr>
                <w:b w:val="0"/>
                <w:bCs w:val="0"/>
              </w:rPr>
            </w:pPr>
            <w:r w:rsidRPr="00B40D29">
              <w:t>12 months and within 24 months</w:t>
            </w:r>
          </w:p>
        </w:tc>
        <w:tc>
          <w:tcPr>
            <w:tcW w:w="0" w:type="dxa"/>
            <w:vAlign w:val="center"/>
          </w:tcPr>
          <w:p w14:paraId="55C984FA" w14:textId="4EA6DBB4" w:rsidR="00770E1C" w:rsidRPr="00B40D29" w:rsidRDefault="00497911" w:rsidP="00A01D3D">
            <w:pPr>
              <w:jc w:val="center"/>
              <w:cnfStyle w:val="000000000000" w:firstRow="0" w:lastRow="0" w:firstColumn="0" w:lastColumn="0" w:oddVBand="0" w:evenVBand="0" w:oddHBand="0" w:evenHBand="0" w:firstRowFirstColumn="0" w:firstRowLastColumn="0" w:lastRowFirstColumn="0" w:lastRowLastColumn="0"/>
            </w:pPr>
            <w:r w:rsidRPr="00B40D29">
              <w:t>100%</w:t>
            </w:r>
          </w:p>
        </w:tc>
        <w:tc>
          <w:tcPr>
            <w:tcW w:w="0" w:type="dxa"/>
            <w:vAlign w:val="center"/>
          </w:tcPr>
          <w:p w14:paraId="2EFF49FB" w14:textId="77777777" w:rsidR="00770E1C" w:rsidRPr="00B40D29" w:rsidRDefault="00770E1C" w:rsidP="00A01D3D">
            <w:pPr>
              <w:jc w:val="center"/>
              <w:cnfStyle w:val="000000000000" w:firstRow="0" w:lastRow="0" w:firstColumn="0" w:lastColumn="0" w:oddVBand="0" w:evenVBand="0" w:oddHBand="0" w:evenHBand="0" w:firstRowFirstColumn="0" w:firstRowLastColumn="0" w:lastRowFirstColumn="0" w:lastRowLastColumn="0"/>
            </w:pPr>
            <w:r w:rsidRPr="00B40D29">
              <w:t>0%</w:t>
            </w:r>
          </w:p>
        </w:tc>
      </w:tr>
      <w:tr w:rsidR="003C74E6" w:rsidRPr="00B40D29" w14:paraId="7E552FD1" w14:textId="77777777" w:rsidTr="003C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87" w:type="dxa"/>
            <w:vAlign w:val="center"/>
          </w:tcPr>
          <w:p w14:paraId="4E9098CD" w14:textId="77777777" w:rsidR="00770E1C" w:rsidRPr="00B40D29" w:rsidRDefault="00770E1C" w:rsidP="002D5343">
            <w:pPr>
              <w:rPr>
                <w:b w:val="0"/>
                <w:bCs w:val="0"/>
              </w:rPr>
            </w:pPr>
            <w:r w:rsidRPr="00B40D29">
              <w:t>24 months and within 5 years</w:t>
            </w:r>
          </w:p>
        </w:tc>
        <w:tc>
          <w:tcPr>
            <w:tcW w:w="0" w:type="dxa"/>
            <w:vAlign w:val="center"/>
          </w:tcPr>
          <w:p w14:paraId="1C42D94D" w14:textId="0B697D20" w:rsidR="00770E1C" w:rsidRPr="00B40D29" w:rsidRDefault="00497911" w:rsidP="00A01D3D">
            <w:pPr>
              <w:jc w:val="center"/>
              <w:cnfStyle w:val="000000100000" w:firstRow="0" w:lastRow="0" w:firstColumn="0" w:lastColumn="0" w:oddVBand="0" w:evenVBand="0" w:oddHBand="1" w:evenHBand="0" w:firstRowFirstColumn="0" w:firstRowLastColumn="0" w:lastRowFirstColumn="0" w:lastRowLastColumn="0"/>
            </w:pPr>
            <w:r w:rsidRPr="00B40D29">
              <w:t>100%</w:t>
            </w:r>
          </w:p>
        </w:tc>
        <w:tc>
          <w:tcPr>
            <w:tcW w:w="0" w:type="dxa"/>
            <w:vAlign w:val="center"/>
          </w:tcPr>
          <w:p w14:paraId="4B9716DE" w14:textId="77777777" w:rsidR="00770E1C" w:rsidRPr="00B40D29" w:rsidRDefault="00770E1C" w:rsidP="00A01D3D">
            <w:pPr>
              <w:jc w:val="center"/>
              <w:cnfStyle w:val="000000100000" w:firstRow="0" w:lastRow="0" w:firstColumn="0" w:lastColumn="0" w:oddVBand="0" w:evenVBand="0" w:oddHBand="1" w:evenHBand="0" w:firstRowFirstColumn="0" w:firstRowLastColumn="0" w:lastRowFirstColumn="0" w:lastRowLastColumn="0"/>
            </w:pPr>
            <w:r w:rsidRPr="00B40D29">
              <w:t>0%</w:t>
            </w:r>
          </w:p>
        </w:tc>
      </w:tr>
      <w:tr w:rsidR="003C74E6" w:rsidRPr="00B40D29" w14:paraId="367FE8F3" w14:textId="77777777" w:rsidTr="003C36D7">
        <w:trPr>
          <w:trHeight w:val="454"/>
        </w:trPr>
        <w:tc>
          <w:tcPr>
            <w:cnfStyle w:val="001000000000" w:firstRow="0" w:lastRow="0" w:firstColumn="1" w:lastColumn="0" w:oddVBand="0" w:evenVBand="0" w:oddHBand="0" w:evenHBand="0" w:firstRowFirstColumn="0" w:firstRowLastColumn="0" w:lastRowFirstColumn="0" w:lastRowLastColumn="0"/>
            <w:tcW w:w="5387" w:type="dxa"/>
            <w:vAlign w:val="center"/>
          </w:tcPr>
          <w:p w14:paraId="251857B8" w14:textId="77777777" w:rsidR="00770E1C" w:rsidRPr="00B40D29" w:rsidRDefault="00770E1C" w:rsidP="002D5343">
            <w:pPr>
              <w:rPr>
                <w:b w:val="0"/>
                <w:bCs w:val="0"/>
              </w:rPr>
            </w:pPr>
            <w:r w:rsidRPr="00B40D29">
              <w:t>5 years and within 10 years</w:t>
            </w:r>
          </w:p>
        </w:tc>
        <w:tc>
          <w:tcPr>
            <w:tcW w:w="0" w:type="dxa"/>
            <w:vAlign w:val="center"/>
          </w:tcPr>
          <w:p w14:paraId="31E9EBD0" w14:textId="77777777" w:rsidR="00770E1C" w:rsidRPr="00B40D29" w:rsidRDefault="00770E1C" w:rsidP="00A01D3D">
            <w:pPr>
              <w:jc w:val="center"/>
              <w:cnfStyle w:val="000000000000" w:firstRow="0" w:lastRow="0" w:firstColumn="0" w:lastColumn="0" w:oddVBand="0" w:evenVBand="0" w:oddHBand="0" w:evenHBand="0" w:firstRowFirstColumn="0" w:firstRowLastColumn="0" w:lastRowFirstColumn="0" w:lastRowLastColumn="0"/>
            </w:pPr>
            <w:r w:rsidRPr="00B40D29">
              <w:t>100%</w:t>
            </w:r>
          </w:p>
        </w:tc>
        <w:tc>
          <w:tcPr>
            <w:tcW w:w="0" w:type="dxa"/>
            <w:vAlign w:val="center"/>
          </w:tcPr>
          <w:p w14:paraId="7608465A" w14:textId="77777777" w:rsidR="00770E1C" w:rsidRPr="00B40D29" w:rsidRDefault="00770E1C" w:rsidP="00A01D3D">
            <w:pPr>
              <w:jc w:val="center"/>
              <w:cnfStyle w:val="000000000000" w:firstRow="0" w:lastRow="0" w:firstColumn="0" w:lastColumn="0" w:oddVBand="0" w:evenVBand="0" w:oddHBand="0" w:evenHBand="0" w:firstRowFirstColumn="0" w:firstRowLastColumn="0" w:lastRowFirstColumn="0" w:lastRowLastColumn="0"/>
            </w:pPr>
            <w:r w:rsidRPr="00B40D29">
              <w:t>0%</w:t>
            </w:r>
          </w:p>
        </w:tc>
      </w:tr>
      <w:tr w:rsidR="003C74E6" w:rsidRPr="00C47B99" w14:paraId="4CFC0F14" w14:textId="77777777" w:rsidTr="003C3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87" w:type="dxa"/>
            <w:vAlign w:val="center"/>
          </w:tcPr>
          <w:p w14:paraId="64188EA9" w14:textId="77777777" w:rsidR="00770E1C" w:rsidRPr="00B40D29" w:rsidRDefault="00770E1C" w:rsidP="002D5343">
            <w:pPr>
              <w:rPr>
                <w:b w:val="0"/>
                <w:bCs w:val="0"/>
              </w:rPr>
            </w:pPr>
            <w:r w:rsidRPr="00B40D29">
              <w:t>10 years and above</w:t>
            </w:r>
          </w:p>
        </w:tc>
        <w:tc>
          <w:tcPr>
            <w:tcW w:w="0" w:type="dxa"/>
            <w:vAlign w:val="center"/>
          </w:tcPr>
          <w:p w14:paraId="1D25E82D" w14:textId="77777777" w:rsidR="00770E1C" w:rsidRPr="00B40D29" w:rsidRDefault="00770E1C" w:rsidP="00A01D3D">
            <w:pPr>
              <w:jc w:val="center"/>
              <w:cnfStyle w:val="000000100000" w:firstRow="0" w:lastRow="0" w:firstColumn="0" w:lastColumn="0" w:oddVBand="0" w:evenVBand="0" w:oddHBand="1" w:evenHBand="0" w:firstRowFirstColumn="0" w:firstRowLastColumn="0" w:lastRowFirstColumn="0" w:lastRowLastColumn="0"/>
            </w:pPr>
            <w:r w:rsidRPr="00B40D29">
              <w:t>100%</w:t>
            </w:r>
          </w:p>
        </w:tc>
        <w:tc>
          <w:tcPr>
            <w:tcW w:w="0" w:type="dxa"/>
            <w:vAlign w:val="center"/>
          </w:tcPr>
          <w:p w14:paraId="5248C6B6" w14:textId="77777777" w:rsidR="00770E1C" w:rsidRPr="00B40D29" w:rsidRDefault="00770E1C" w:rsidP="00A01D3D">
            <w:pPr>
              <w:jc w:val="center"/>
              <w:cnfStyle w:val="000000100000" w:firstRow="0" w:lastRow="0" w:firstColumn="0" w:lastColumn="0" w:oddVBand="0" w:evenVBand="0" w:oddHBand="1" w:evenHBand="0" w:firstRowFirstColumn="0" w:firstRowLastColumn="0" w:lastRowFirstColumn="0" w:lastRowLastColumn="0"/>
            </w:pPr>
            <w:r w:rsidRPr="00B40D29">
              <w:t>0%</w:t>
            </w:r>
          </w:p>
        </w:tc>
      </w:tr>
    </w:tbl>
    <w:p w14:paraId="06F4979A" w14:textId="77777777" w:rsidR="00770E1C" w:rsidRPr="00B40D29" w:rsidRDefault="00770E1C" w:rsidP="002D5343">
      <w:r w:rsidRPr="00B40D29">
        <w:t>Time periods start on the first day of each financial year.  The maturity date of borrowing is the earliest date on which the lender can demand repayment.</w:t>
      </w:r>
    </w:p>
    <w:p w14:paraId="70689C6D" w14:textId="16F67372" w:rsidR="00770E1C" w:rsidRDefault="00770E1C" w:rsidP="002D5343">
      <w:r w:rsidRPr="00B40D29">
        <w:t xml:space="preserve">The limits have been set as wide as possible to ensure opportunities to restructure debt is not lost. </w:t>
      </w:r>
    </w:p>
    <w:p w14:paraId="07B78BEC" w14:textId="77777777" w:rsidR="00F75FAF" w:rsidRPr="00B40D29" w:rsidRDefault="00F75FAF" w:rsidP="002D5343"/>
    <w:p w14:paraId="2C78B892" w14:textId="2443E995" w:rsidR="00770E1C" w:rsidRPr="00B40D29" w:rsidRDefault="00770E1C" w:rsidP="002D5343">
      <w:pPr>
        <w:rPr>
          <w:b/>
          <w:bCs/>
        </w:rPr>
      </w:pPr>
      <w:r w:rsidRPr="00B40D29">
        <w:rPr>
          <w:b/>
          <w:bCs/>
        </w:rPr>
        <w:t>5.5</w:t>
      </w:r>
      <w:r w:rsidRPr="00B40D29">
        <w:rPr>
          <w:b/>
          <w:bCs/>
        </w:rPr>
        <w:tab/>
        <w:t>Principal Sums Invested for Periods Longer than 364 days</w:t>
      </w:r>
    </w:p>
    <w:p w14:paraId="2E4D774E" w14:textId="1E1AE9DC" w:rsidR="00770E1C" w:rsidRPr="00B40D29" w:rsidRDefault="00770E1C" w:rsidP="002D5343">
      <w:r w:rsidRPr="00B40D29">
        <w:t xml:space="preserve">The purpose of this indicator is to control the </w:t>
      </w:r>
      <w:r w:rsidR="00657EFA" w:rsidRPr="00B40D29">
        <w:t>Commissioner</w:t>
      </w:r>
      <w:r w:rsidRPr="00B40D29">
        <w:t>’s exposure to the risk of incurring losses by seeking early repayment of its investments.  The limits on the long-term principal sum invested to final maturities beyond the period end will be:</w:t>
      </w:r>
    </w:p>
    <w:tbl>
      <w:tblPr>
        <w:tblStyle w:val="GridTable4-Accent1"/>
        <w:tblW w:w="8882" w:type="dxa"/>
        <w:tblInd w:w="-5" w:type="dxa"/>
        <w:tblLook w:val="04A0" w:firstRow="1" w:lastRow="0" w:firstColumn="1" w:lastColumn="0" w:noHBand="0" w:noVBand="1"/>
      </w:tblPr>
      <w:tblGrid>
        <w:gridCol w:w="4871"/>
        <w:gridCol w:w="1337"/>
        <w:gridCol w:w="1337"/>
        <w:gridCol w:w="1337"/>
      </w:tblGrid>
      <w:tr w:rsidR="003C74E6" w:rsidRPr="00B40D29" w14:paraId="04414780" w14:textId="77777777" w:rsidTr="003C36D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CE6C300" w14:textId="48B5633C" w:rsidR="00770E1C" w:rsidRPr="00B40D29" w:rsidRDefault="00770E1C" w:rsidP="002D5343"/>
        </w:tc>
        <w:tc>
          <w:tcPr>
            <w:tcW w:w="0" w:type="dxa"/>
            <w:vAlign w:val="center"/>
          </w:tcPr>
          <w:p w14:paraId="59DE2727" w14:textId="5DAC9138" w:rsidR="00770E1C" w:rsidRPr="00B40D29" w:rsidRDefault="00770E1C" w:rsidP="002D5343">
            <w:pPr>
              <w:cnfStyle w:val="100000000000" w:firstRow="1" w:lastRow="0" w:firstColumn="0" w:lastColumn="0" w:oddVBand="0" w:evenVBand="0" w:oddHBand="0" w:evenHBand="0" w:firstRowFirstColumn="0" w:firstRowLastColumn="0" w:lastRowFirstColumn="0" w:lastRowLastColumn="0"/>
              <w:rPr>
                <w:b w:val="0"/>
                <w:bCs w:val="0"/>
              </w:rPr>
            </w:pPr>
            <w:r w:rsidRPr="00B40D29">
              <w:t>20</w:t>
            </w:r>
            <w:r w:rsidR="00773DA0" w:rsidRPr="00B40D29">
              <w:t>2</w:t>
            </w:r>
            <w:r w:rsidR="007C0E27" w:rsidRPr="00B40D29">
              <w:t>3</w:t>
            </w:r>
            <w:r w:rsidR="00B82D9B" w:rsidRPr="00B40D29">
              <w:t>/2</w:t>
            </w:r>
            <w:r w:rsidR="007C0E27" w:rsidRPr="00B40D29">
              <w:t>4</w:t>
            </w:r>
          </w:p>
          <w:p w14:paraId="6BD3C4C5" w14:textId="634A5E16" w:rsidR="00E16BAD" w:rsidRPr="00B40D29" w:rsidRDefault="00E16BAD" w:rsidP="002D5343">
            <w:pPr>
              <w:cnfStyle w:val="100000000000" w:firstRow="1" w:lastRow="0" w:firstColumn="0" w:lastColumn="0" w:oddVBand="0" w:evenVBand="0" w:oddHBand="0" w:evenHBand="0" w:firstRowFirstColumn="0" w:firstRowLastColumn="0" w:lastRowFirstColumn="0" w:lastRowLastColumn="0"/>
              <w:rPr>
                <w:b w:val="0"/>
                <w:bCs w:val="0"/>
              </w:rPr>
            </w:pPr>
            <w:r w:rsidRPr="00B40D29">
              <w:t>£m</w:t>
            </w:r>
          </w:p>
        </w:tc>
        <w:tc>
          <w:tcPr>
            <w:tcW w:w="0" w:type="dxa"/>
            <w:vAlign w:val="center"/>
          </w:tcPr>
          <w:p w14:paraId="55C7AB3D" w14:textId="20AEB674" w:rsidR="00770E1C" w:rsidRPr="00B40D29" w:rsidRDefault="00773DA0" w:rsidP="002D5343">
            <w:pPr>
              <w:cnfStyle w:val="100000000000" w:firstRow="1" w:lastRow="0" w:firstColumn="0" w:lastColumn="0" w:oddVBand="0" w:evenVBand="0" w:oddHBand="0" w:evenHBand="0" w:firstRowFirstColumn="0" w:firstRowLastColumn="0" w:lastRowFirstColumn="0" w:lastRowLastColumn="0"/>
              <w:rPr>
                <w:b w:val="0"/>
                <w:bCs w:val="0"/>
              </w:rPr>
            </w:pPr>
            <w:r w:rsidRPr="00B40D29">
              <w:t>202</w:t>
            </w:r>
            <w:r w:rsidR="007C0E27" w:rsidRPr="00B40D29">
              <w:t>4</w:t>
            </w:r>
            <w:r w:rsidRPr="00B40D29">
              <w:t>/2</w:t>
            </w:r>
            <w:r w:rsidR="007C0E27" w:rsidRPr="00B40D29">
              <w:t>5</w:t>
            </w:r>
          </w:p>
          <w:p w14:paraId="36309774" w14:textId="0DE4D920" w:rsidR="00E16BAD" w:rsidRPr="00B40D29" w:rsidRDefault="00E16BAD" w:rsidP="002D5343">
            <w:pPr>
              <w:cnfStyle w:val="100000000000" w:firstRow="1" w:lastRow="0" w:firstColumn="0" w:lastColumn="0" w:oddVBand="0" w:evenVBand="0" w:oddHBand="0" w:evenHBand="0" w:firstRowFirstColumn="0" w:firstRowLastColumn="0" w:lastRowFirstColumn="0" w:lastRowLastColumn="0"/>
              <w:rPr>
                <w:b w:val="0"/>
                <w:bCs w:val="0"/>
              </w:rPr>
            </w:pPr>
            <w:r w:rsidRPr="00B40D29">
              <w:t>£m</w:t>
            </w:r>
          </w:p>
        </w:tc>
        <w:tc>
          <w:tcPr>
            <w:tcW w:w="0" w:type="dxa"/>
            <w:vAlign w:val="center"/>
          </w:tcPr>
          <w:p w14:paraId="4B6E8F08" w14:textId="5B026663" w:rsidR="00770E1C" w:rsidRPr="00B40D29" w:rsidRDefault="00773DA0" w:rsidP="002D5343">
            <w:pPr>
              <w:cnfStyle w:val="100000000000" w:firstRow="1" w:lastRow="0" w:firstColumn="0" w:lastColumn="0" w:oddVBand="0" w:evenVBand="0" w:oddHBand="0" w:evenHBand="0" w:firstRowFirstColumn="0" w:firstRowLastColumn="0" w:lastRowFirstColumn="0" w:lastRowLastColumn="0"/>
              <w:rPr>
                <w:b w:val="0"/>
                <w:bCs w:val="0"/>
              </w:rPr>
            </w:pPr>
            <w:r w:rsidRPr="00B40D29">
              <w:t>202</w:t>
            </w:r>
            <w:r w:rsidR="007C0E27" w:rsidRPr="00B40D29">
              <w:t>5</w:t>
            </w:r>
            <w:r w:rsidRPr="00B40D29">
              <w:t>/2</w:t>
            </w:r>
            <w:r w:rsidR="007C0E27" w:rsidRPr="00B40D29">
              <w:t>6</w:t>
            </w:r>
          </w:p>
          <w:p w14:paraId="012F078C" w14:textId="127AF0E3" w:rsidR="00E16BAD" w:rsidRPr="00B40D29" w:rsidRDefault="00E16BAD" w:rsidP="002D5343">
            <w:pPr>
              <w:cnfStyle w:val="100000000000" w:firstRow="1" w:lastRow="0" w:firstColumn="0" w:lastColumn="0" w:oddVBand="0" w:evenVBand="0" w:oddHBand="0" w:evenHBand="0" w:firstRowFirstColumn="0" w:firstRowLastColumn="0" w:lastRowFirstColumn="0" w:lastRowLastColumn="0"/>
              <w:rPr>
                <w:b w:val="0"/>
                <w:bCs w:val="0"/>
              </w:rPr>
            </w:pPr>
            <w:r w:rsidRPr="00B40D29">
              <w:t>£m</w:t>
            </w:r>
          </w:p>
        </w:tc>
      </w:tr>
      <w:tr w:rsidR="003C74E6" w:rsidRPr="00B40D29" w14:paraId="6A4FEA24" w14:textId="77777777" w:rsidTr="003C3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760B179" w14:textId="77777777" w:rsidR="00770E1C" w:rsidRPr="00B40D29" w:rsidRDefault="00770E1C" w:rsidP="002D5343">
            <w:pPr>
              <w:rPr>
                <w:bCs w:val="0"/>
              </w:rPr>
            </w:pPr>
            <w:r w:rsidRPr="00B40D29">
              <w:t>Limit on principal invested beyond year end</w:t>
            </w:r>
          </w:p>
        </w:tc>
        <w:tc>
          <w:tcPr>
            <w:tcW w:w="0" w:type="dxa"/>
            <w:vAlign w:val="center"/>
          </w:tcPr>
          <w:p w14:paraId="3385483B" w14:textId="7A758247" w:rsidR="00770E1C" w:rsidRPr="00B40D29" w:rsidRDefault="002F0B92" w:rsidP="00A01D3D">
            <w:pPr>
              <w:jc w:val="center"/>
              <w:cnfStyle w:val="000000100000" w:firstRow="0" w:lastRow="0" w:firstColumn="0" w:lastColumn="0" w:oddVBand="0" w:evenVBand="0" w:oddHBand="1" w:evenHBand="0" w:firstRowFirstColumn="0" w:firstRowLastColumn="0" w:lastRowFirstColumn="0" w:lastRowLastColumn="0"/>
              <w:rPr>
                <w:bCs/>
              </w:rPr>
            </w:pPr>
            <w:r w:rsidRPr="00B40D29">
              <w:rPr>
                <w:bCs/>
              </w:rPr>
              <w:t>8.0</w:t>
            </w:r>
          </w:p>
        </w:tc>
        <w:tc>
          <w:tcPr>
            <w:tcW w:w="0" w:type="dxa"/>
            <w:vAlign w:val="center"/>
          </w:tcPr>
          <w:p w14:paraId="1B30CEC9" w14:textId="322F0FDC" w:rsidR="00770E1C" w:rsidRPr="00B40D29" w:rsidRDefault="002F0B92" w:rsidP="00A01D3D">
            <w:pPr>
              <w:jc w:val="center"/>
              <w:cnfStyle w:val="000000100000" w:firstRow="0" w:lastRow="0" w:firstColumn="0" w:lastColumn="0" w:oddVBand="0" w:evenVBand="0" w:oddHBand="1" w:evenHBand="0" w:firstRowFirstColumn="0" w:firstRowLastColumn="0" w:lastRowFirstColumn="0" w:lastRowLastColumn="0"/>
              <w:rPr>
                <w:bCs/>
              </w:rPr>
            </w:pPr>
            <w:r w:rsidRPr="00B40D29">
              <w:t>6.0</w:t>
            </w:r>
          </w:p>
        </w:tc>
        <w:tc>
          <w:tcPr>
            <w:tcW w:w="0" w:type="dxa"/>
            <w:vAlign w:val="center"/>
          </w:tcPr>
          <w:p w14:paraId="3A79B635" w14:textId="183A65B7" w:rsidR="00770E1C" w:rsidRPr="00B40D29" w:rsidRDefault="002F0B92" w:rsidP="00A01D3D">
            <w:pPr>
              <w:jc w:val="center"/>
              <w:cnfStyle w:val="000000100000" w:firstRow="0" w:lastRow="0" w:firstColumn="0" w:lastColumn="0" w:oddVBand="0" w:evenVBand="0" w:oddHBand="1" w:evenHBand="0" w:firstRowFirstColumn="0" w:firstRowLastColumn="0" w:lastRowFirstColumn="0" w:lastRowLastColumn="0"/>
              <w:rPr>
                <w:bCs/>
              </w:rPr>
            </w:pPr>
            <w:r w:rsidRPr="00B40D29">
              <w:t>4.0</w:t>
            </w:r>
          </w:p>
        </w:tc>
      </w:tr>
      <w:tr w:rsidR="002F0B92" w:rsidRPr="004A501B" w14:paraId="29E62C3E" w14:textId="77777777" w:rsidTr="003C36D7">
        <w:trPr>
          <w:trHeight w:val="567"/>
        </w:trPr>
        <w:tc>
          <w:tcPr>
            <w:cnfStyle w:val="001000000000" w:firstRow="0" w:lastRow="0" w:firstColumn="1" w:lastColumn="0" w:oddVBand="0" w:evenVBand="0" w:oddHBand="0" w:evenHBand="0" w:firstRowFirstColumn="0" w:firstRowLastColumn="0" w:lastRowFirstColumn="0" w:lastRowLastColumn="0"/>
            <w:tcW w:w="3686" w:type="dxa"/>
          </w:tcPr>
          <w:p w14:paraId="75039719" w14:textId="07D74D12" w:rsidR="002F0B92" w:rsidRPr="00B40D29" w:rsidRDefault="002F0B92" w:rsidP="002F0B92">
            <w:r w:rsidRPr="00B40D29">
              <w:t xml:space="preserve">Current investments as at </w:t>
            </w:r>
            <w:r w:rsidR="00F75FAF">
              <w:t>28</w:t>
            </w:r>
            <w:r w:rsidRPr="00B40D29">
              <w:rPr>
                <w:iCs/>
                <w:spacing w:val="-5"/>
              </w:rPr>
              <w:t>.0</w:t>
            </w:r>
            <w:r w:rsidR="00F75FAF">
              <w:rPr>
                <w:iCs/>
                <w:spacing w:val="-5"/>
              </w:rPr>
              <w:t>2</w:t>
            </w:r>
            <w:r w:rsidRPr="00B40D29">
              <w:rPr>
                <w:iCs/>
                <w:spacing w:val="-5"/>
              </w:rPr>
              <w:t>.2</w:t>
            </w:r>
            <w:r w:rsidR="007C0E27" w:rsidRPr="00B40D29">
              <w:rPr>
                <w:iCs/>
                <w:spacing w:val="-5"/>
              </w:rPr>
              <w:t>3</w:t>
            </w:r>
            <w:r w:rsidRPr="00B40D29">
              <w:rPr>
                <w:iCs/>
                <w:spacing w:val="-5"/>
              </w:rPr>
              <w:t xml:space="preserve"> </w:t>
            </w:r>
            <w:proofErr w:type="gramStart"/>
            <w:r w:rsidRPr="00B40D29">
              <w:t>in excess of</w:t>
            </w:r>
            <w:proofErr w:type="gramEnd"/>
            <w:r w:rsidRPr="00B40D29">
              <w:t xml:space="preserve"> 1 year maturing in each year</w:t>
            </w:r>
          </w:p>
        </w:tc>
        <w:tc>
          <w:tcPr>
            <w:tcW w:w="0" w:type="dxa"/>
          </w:tcPr>
          <w:p w14:paraId="25C88A7A" w14:textId="47D0D9D4" w:rsidR="002F0B92" w:rsidRPr="00B40D29" w:rsidRDefault="007C0E27" w:rsidP="002F0B92">
            <w:pPr>
              <w:cnfStyle w:val="000000000000" w:firstRow="0" w:lastRow="0" w:firstColumn="0" w:lastColumn="0" w:oddVBand="0" w:evenVBand="0" w:oddHBand="0" w:evenHBand="0" w:firstRowFirstColumn="0" w:firstRowLastColumn="0" w:lastRowFirstColumn="0" w:lastRowLastColumn="0"/>
            </w:pPr>
            <w:r w:rsidRPr="00B40D29">
              <w:t>-</w:t>
            </w:r>
          </w:p>
        </w:tc>
        <w:tc>
          <w:tcPr>
            <w:tcW w:w="0" w:type="dxa"/>
          </w:tcPr>
          <w:p w14:paraId="19752F7B" w14:textId="6DAD49CA" w:rsidR="002F0B92" w:rsidRPr="00B40D29" w:rsidRDefault="002F0B92" w:rsidP="002F0B92">
            <w:pPr>
              <w:cnfStyle w:val="000000000000" w:firstRow="0" w:lastRow="0" w:firstColumn="0" w:lastColumn="0" w:oddVBand="0" w:evenVBand="0" w:oddHBand="0" w:evenHBand="0" w:firstRowFirstColumn="0" w:firstRowLastColumn="0" w:lastRowFirstColumn="0" w:lastRowLastColumn="0"/>
            </w:pPr>
            <w:r w:rsidRPr="00B40D29">
              <w:t>-</w:t>
            </w:r>
          </w:p>
        </w:tc>
        <w:tc>
          <w:tcPr>
            <w:tcW w:w="0" w:type="dxa"/>
          </w:tcPr>
          <w:p w14:paraId="3FAB4E43" w14:textId="2BF4C379" w:rsidR="002F0B92" w:rsidRPr="007C0E27" w:rsidRDefault="002F0B92" w:rsidP="002F0B92">
            <w:pPr>
              <w:cnfStyle w:val="000000000000" w:firstRow="0" w:lastRow="0" w:firstColumn="0" w:lastColumn="0" w:oddVBand="0" w:evenVBand="0" w:oddHBand="0" w:evenHBand="0" w:firstRowFirstColumn="0" w:firstRowLastColumn="0" w:lastRowFirstColumn="0" w:lastRowLastColumn="0"/>
            </w:pPr>
            <w:r w:rsidRPr="00B40D29">
              <w:t>-</w:t>
            </w:r>
          </w:p>
        </w:tc>
      </w:tr>
    </w:tbl>
    <w:p w14:paraId="16D64D95" w14:textId="77777777" w:rsidR="00E86F65" w:rsidRPr="004A501B" w:rsidRDefault="00E86F65" w:rsidP="002D5343"/>
    <w:p w14:paraId="366B1330" w14:textId="6C7F631E" w:rsidR="00770E1C" w:rsidRPr="004A501B" w:rsidRDefault="00506FB6" w:rsidP="0017003A">
      <w:pPr>
        <w:pStyle w:val="Heading2"/>
      </w:pPr>
      <w:r>
        <w:t>O</w:t>
      </w:r>
      <w:r w:rsidR="00770E1C" w:rsidRPr="004A501B">
        <w:t>ther Items</w:t>
      </w:r>
    </w:p>
    <w:p w14:paraId="44CBEBE8" w14:textId="40FC4A35" w:rsidR="00770E1C" w:rsidRDefault="00770E1C" w:rsidP="002D5343">
      <w:r w:rsidRPr="004A501B">
        <w:t xml:space="preserve">There are </w:t>
      </w:r>
      <w:proofErr w:type="gramStart"/>
      <w:r w:rsidRPr="004A501B">
        <w:t>a number of</w:t>
      </w:r>
      <w:proofErr w:type="gramEnd"/>
      <w:r w:rsidRPr="004A501B">
        <w:t xml:space="preserve"> additional items that </w:t>
      </w:r>
      <w:r w:rsidR="009C3DB3" w:rsidRPr="004A501B">
        <w:t>the Commissioner</w:t>
      </w:r>
      <w:r w:rsidRPr="004A501B">
        <w:t xml:space="preserve"> is obliged by CIPFA or WG to include in its Treasury Management Strategy.</w:t>
      </w:r>
    </w:p>
    <w:p w14:paraId="29B7BD5B" w14:textId="77777777" w:rsidR="00ED2F81" w:rsidRDefault="00ED2F81" w:rsidP="002D5343"/>
    <w:p w14:paraId="5E260A75" w14:textId="77777777" w:rsidR="00770E1C" w:rsidRPr="0017003A" w:rsidRDefault="00770E1C" w:rsidP="002D5343">
      <w:pPr>
        <w:rPr>
          <w:b/>
          <w:bCs/>
        </w:rPr>
      </w:pPr>
      <w:r w:rsidRPr="0017003A">
        <w:rPr>
          <w:b/>
          <w:bCs/>
        </w:rPr>
        <w:t>6.1</w:t>
      </w:r>
      <w:r w:rsidRPr="0017003A">
        <w:rPr>
          <w:b/>
          <w:bCs/>
        </w:rPr>
        <w:tab/>
        <w:t>Policy on Use of Financial Derivatives</w:t>
      </w:r>
    </w:p>
    <w:p w14:paraId="746C08E9" w14:textId="59FEBEEA" w:rsidR="00770E1C" w:rsidRDefault="00770E1C" w:rsidP="002D5343">
      <w:r w:rsidRPr="004A501B">
        <w:t xml:space="preserve">In the absence of any legal power to do so, the </w:t>
      </w:r>
      <w:r w:rsidR="00657EFA" w:rsidRPr="004A501B">
        <w:t>Commissioner</w:t>
      </w:r>
      <w:r w:rsidRPr="004A501B">
        <w:t xml:space="preserve"> will not use standalone financial derivatives (such as swaps, forwards, </w:t>
      </w:r>
      <w:proofErr w:type="gramStart"/>
      <w:r w:rsidRPr="004A501B">
        <w:t>futures</w:t>
      </w:r>
      <w:proofErr w:type="gramEnd"/>
      <w:r w:rsidRPr="004A501B">
        <w:t xml:space="preserve"> and options).  Derivatives embedded into loans and investments, including pooled funds and forward starting transactions, may be </w:t>
      </w:r>
      <w:r w:rsidRPr="004A501B">
        <w:lastRenderedPageBreak/>
        <w:t>used, and the risks that they present will be managed in line with the overall treasury risk management strategy.</w:t>
      </w:r>
    </w:p>
    <w:p w14:paraId="1CEEF9EA" w14:textId="77777777" w:rsidR="00D50313" w:rsidRPr="004A501B" w:rsidRDefault="00D50313" w:rsidP="002D5343"/>
    <w:p w14:paraId="6F9ECDC0" w14:textId="77777777" w:rsidR="00770E1C" w:rsidRPr="007E4EBB" w:rsidRDefault="00770E1C" w:rsidP="002D5343">
      <w:pPr>
        <w:rPr>
          <w:b/>
          <w:bCs/>
        </w:rPr>
      </w:pPr>
      <w:r w:rsidRPr="007E4EBB">
        <w:rPr>
          <w:b/>
          <w:bCs/>
        </w:rPr>
        <w:t>6.2</w:t>
      </w:r>
      <w:r w:rsidRPr="007E4EBB">
        <w:rPr>
          <w:b/>
          <w:bCs/>
        </w:rPr>
        <w:tab/>
        <w:t>Investment Training</w:t>
      </w:r>
    </w:p>
    <w:p w14:paraId="73BAA86E" w14:textId="20537602" w:rsidR="00D74A17" w:rsidRPr="0011422F" w:rsidRDefault="00770E1C" w:rsidP="0011422F">
      <w:pPr>
        <w:rPr>
          <w:rFonts w:eastAsia="Times New Roman" w:cs="Times New Roman"/>
          <w:spacing w:val="-5"/>
          <w:szCs w:val="20"/>
        </w:rPr>
      </w:pPr>
      <w:r w:rsidRPr="007E4EBB">
        <w:t>CIPFA’s Code of Practice requires the C</w:t>
      </w:r>
      <w:r w:rsidR="0080793E">
        <w:t>FO</w:t>
      </w:r>
      <w:r w:rsidRPr="007E4EBB">
        <w:t xml:space="preserve"> to ensure that all members tasked with treasury management responsibilities, including scrutiny of the treasury management function, receive appropriate training relevant to their needs and understand fully their roles and responsibilities.</w:t>
      </w:r>
      <w:r w:rsidR="00D74A17">
        <w:t xml:space="preserve">  The revised Code requires </w:t>
      </w:r>
      <w:r w:rsidR="0011422F">
        <w:rPr>
          <w:rFonts w:eastAsia="Times New Roman" w:cs="Times New Roman"/>
          <w:spacing w:val="-5"/>
          <w:szCs w:val="20"/>
        </w:rPr>
        <w:t>for</w:t>
      </w:r>
      <w:r w:rsidR="00073FB1">
        <w:rPr>
          <w:rFonts w:eastAsia="Times New Roman" w:cs="Times New Roman"/>
          <w:spacing w:val="-5"/>
          <w:szCs w:val="20"/>
        </w:rPr>
        <w:t xml:space="preserve"> the</w:t>
      </w:r>
      <w:r w:rsidR="00D74A17" w:rsidRPr="0011422F">
        <w:rPr>
          <w:rFonts w:eastAsia="Times New Roman" w:cs="Times New Roman"/>
          <w:spacing w:val="-5"/>
          <w:szCs w:val="20"/>
        </w:rPr>
        <w:t xml:space="preserve"> knowledge and skills </w:t>
      </w:r>
      <w:r w:rsidR="00071F80" w:rsidRPr="0011422F">
        <w:rPr>
          <w:rFonts w:eastAsia="Times New Roman" w:cs="Times New Roman"/>
          <w:spacing w:val="-5"/>
          <w:szCs w:val="20"/>
        </w:rPr>
        <w:t>of</w:t>
      </w:r>
      <w:r w:rsidR="00D74A17" w:rsidRPr="0011422F">
        <w:rPr>
          <w:rFonts w:eastAsia="Times New Roman" w:cs="Times New Roman"/>
          <w:spacing w:val="-5"/>
          <w:szCs w:val="20"/>
        </w:rPr>
        <w:t xml:space="preserve"> officers and members involved in the treasury management function to be proportionate to the size and complexity of the treasury management conducted by each authority</w:t>
      </w:r>
      <w:r w:rsidR="00071F80" w:rsidRPr="0011422F">
        <w:rPr>
          <w:rFonts w:eastAsia="Times New Roman" w:cs="Times New Roman"/>
          <w:spacing w:val="-5"/>
          <w:szCs w:val="20"/>
        </w:rPr>
        <w:t>.  A register of training is also to be maintained.</w:t>
      </w:r>
    </w:p>
    <w:p w14:paraId="3A482960" w14:textId="5ADC8716" w:rsidR="00770E1C" w:rsidRPr="007E4EBB" w:rsidRDefault="00770E1C" w:rsidP="002D5343"/>
    <w:p w14:paraId="7D680DA1" w14:textId="7594E324" w:rsidR="00770E1C" w:rsidRPr="004A501B" w:rsidRDefault="00770E1C" w:rsidP="002D5343">
      <w:r w:rsidRPr="007E4EBB">
        <w:t xml:space="preserve">Staff who undertake Treasury management duties attend relevant training events provided by </w:t>
      </w:r>
      <w:r w:rsidR="002F0B92" w:rsidRPr="007E4EBB">
        <w:t>Appointed Treasury Advisors</w:t>
      </w:r>
      <w:r w:rsidRPr="007E4EBB">
        <w:t xml:space="preserve"> and attend a quarterly strategy meeting. Staff also attend other relevant training events</w:t>
      </w:r>
      <w:r w:rsidR="00ED2F81" w:rsidRPr="007E4EBB">
        <w:t xml:space="preserve"> provided by recognised bodies.</w:t>
      </w:r>
      <w:r w:rsidR="00556526">
        <w:t xml:space="preserve"> </w:t>
      </w:r>
      <w:r w:rsidR="007E4EBB" w:rsidRPr="007E4EBB">
        <w:t>Further information can be found in TMP 10.</w:t>
      </w:r>
    </w:p>
    <w:p w14:paraId="036EE907" w14:textId="77777777" w:rsidR="00D50313" w:rsidRDefault="00D50313" w:rsidP="002D5343">
      <w:pPr>
        <w:rPr>
          <w:b/>
          <w:bCs/>
        </w:rPr>
      </w:pPr>
    </w:p>
    <w:p w14:paraId="1BDFDDD0" w14:textId="16F656DC" w:rsidR="00770E1C" w:rsidRPr="00B40D29" w:rsidRDefault="00770E1C" w:rsidP="002D5343">
      <w:pPr>
        <w:rPr>
          <w:b/>
          <w:bCs/>
        </w:rPr>
      </w:pPr>
      <w:r w:rsidRPr="00B40D29">
        <w:rPr>
          <w:b/>
          <w:bCs/>
        </w:rPr>
        <w:t>6.3</w:t>
      </w:r>
      <w:r w:rsidRPr="00B40D29">
        <w:rPr>
          <w:b/>
          <w:bCs/>
        </w:rPr>
        <w:tab/>
        <w:t>Investment Advisers</w:t>
      </w:r>
    </w:p>
    <w:p w14:paraId="40BAF7B6" w14:textId="5FBDD03D" w:rsidR="007F4ED9" w:rsidRPr="00B40D29" w:rsidRDefault="00770E1C" w:rsidP="002D5343">
      <w:r w:rsidRPr="00B40D29">
        <w:t xml:space="preserve">The </w:t>
      </w:r>
      <w:r w:rsidR="00657EFA" w:rsidRPr="00B40D29">
        <w:t>Commissioner</w:t>
      </w:r>
      <w:r w:rsidR="00110EAA" w:rsidRPr="00B40D29">
        <w:t xml:space="preserve">’s </w:t>
      </w:r>
      <w:r w:rsidR="007F4ED9" w:rsidRPr="00B40D29">
        <w:t xml:space="preserve">external </w:t>
      </w:r>
      <w:r w:rsidR="00110EAA" w:rsidRPr="00B40D29">
        <w:t xml:space="preserve">treasury management advisors are currently </w:t>
      </w:r>
      <w:r w:rsidR="002F0B92" w:rsidRPr="00B40D29">
        <w:t>Link</w:t>
      </w:r>
      <w:r w:rsidRPr="00B40D29">
        <w:t xml:space="preserve"> </w:t>
      </w:r>
      <w:r w:rsidR="00110EAA" w:rsidRPr="00B40D29">
        <w:t>who give</w:t>
      </w:r>
      <w:r w:rsidRPr="00B40D29">
        <w:t xml:space="preserve"> specific advice on investment, </w:t>
      </w:r>
      <w:proofErr w:type="gramStart"/>
      <w:r w:rsidRPr="00B40D29">
        <w:t>debt</w:t>
      </w:r>
      <w:proofErr w:type="gramEnd"/>
      <w:r w:rsidRPr="00B40D29">
        <w:t xml:space="preserve"> and </w:t>
      </w:r>
      <w:r w:rsidR="00110EAA" w:rsidRPr="00B40D29">
        <w:t>capital finance issues</w:t>
      </w:r>
      <w:r w:rsidRPr="00B40D29">
        <w:t xml:space="preserve">. </w:t>
      </w:r>
    </w:p>
    <w:p w14:paraId="63F40A81" w14:textId="77777777" w:rsidR="00D50313" w:rsidRPr="00B40D29" w:rsidRDefault="00D50313" w:rsidP="002D5343">
      <w:pPr>
        <w:rPr>
          <w:b/>
          <w:bCs/>
        </w:rPr>
      </w:pPr>
    </w:p>
    <w:p w14:paraId="0D83A594" w14:textId="50EE605F" w:rsidR="00770E1C" w:rsidRPr="00B40D29" w:rsidRDefault="00770E1C" w:rsidP="002D5343">
      <w:pPr>
        <w:rPr>
          <w:b/>
          <w:bCs/>
        </w:rPr>
      </w:pPr>
      <w:r w:rsidRPr="00B40D29">
        <w:rPr>
          <w:b/>
          <w:bCs/>
        </w:rPr>
        <w:t>6.4</w:t>
      </w:r>
      <w:r w:rsidRPr="00B40D29">
        <w:rPr>
          <w:b/>
          <w:bCs/>
        </w:rPr>
        <w:tab/>
        <w:t>Investment of Money Borrowed in Advance of Need</w:t>
      </w:r>
    </w:p>
    <w:p w14:paraId="0E73D325" w14:textId="0F184287" w:rsidR="00770E1C" w:rsidRPr="00B40D29" w:rsidRDefault="00773DA0" w:rsidP="002D5343">
      <w:r w:rsidRPr="00B40D29">
        <w:t xml:space="preserve">Welsh Government guidance is that local authorities must not borrow more than or in advance of their needs purely </w:t>
      </w:r>
      <w:proofErr w:type="gramStart"/>
      <w:r w:rsidRPr="00B40D29">
        <w:t>in order to</w:t>
      </w:r>
      <w:proofErr w:type="gramEnd"/>
      <w:r w:rsidRPr="00B40D29">
        <w:t xml:space="preserve"> profit from the investment of the extra sums borrowed. </w:t>
      </w:r>
      <w:r w:rsidR="00770E1C" w:rsidRPr="00B40D29">
        <w:t xml:space="preserve">The </w:t>
      </w:r>
      <w:r w:rsidR="00657EFA" w:rsidRPr="00B40D29">
        <w:t>Commissioner</w:t>
      </w:r>
      <w:r w:rsidR="00770E1C" w:rsidRPr="00B40D29">
        <w:t xml:space="preserve"> may, from time to time, borrow in advance of need, where this is expected to provide the best long</w:t>
      </w:r>
      <w:r w:rsidR="00ED2F81" w:rsidRPr="00B40D29">
        <w:t>-</w:t>
      </w:r>
      <w:r w:rsidR="00770E1C" w:rsidRPr="00B40D29">
        <w:t xml:space="preserve">term value for money.  Since amounts borrowed will be invested until spent, the </w:t>
      </w:r>
      <w:r w:rsidR="00657EFA" w:rsidRPr="00B40D29">
        <w:t>Commissioner</w:t>
      </w:r>
      <w:r w:rsidR="00770E1C" w:rsidRPr="00B40D29">
        <w:t xml:space="preserve"> is aware that it will be exposed to the risk of loss of the borrowed sums, and the risk that investment and borrowing interest rates may change in the intervening period.  These risks will be managed as part of the </w:t>
      </w:r>
      <w:r w:rsidR="00657EFA" w:rsidRPr="00B40D29">
        <w:t>Commissioner</w:t>
      </w:r>
      <w:r w:rsidR="00770E1C" w:rsidRPr="00B40D29">
        <w:t>’s overall management of its treasury risks.</w:t>
      </w:r>
    </w:p>
    <w:p w14:paraId="0C77E4A6" w14:textId="4E2964F9" w:rsidR="00770E1C" w:rsidRPr="00771AF5" w:rsidRDefault="00770E1C" w:rsidP="002D5343">
      <w:r w:rsidRPr="00B40D29">
        <w:t>The total amount borrowed will not exceed the authorised borrowing limit of £</w:t>
      </w:r>
      <w:r w:rsidR="000B5338" w:rsidRPr="00B40D29">
        <w:t>61</w:t>
      </w:r>
      <w:r w:rsidR="00607EFC" w:rsidRPr="00B40D29">
        <w:t>.0</w:t>
      </w:r>
      <w:r w:rsidRPr="00B40D29">
        <w:t xml:space="preserve"> million.  The maximum period between borrowing and expenditure is expected to be two years, although Dyfed Powys is not required to link </w:t>
      </w:r>
      <w:proofErr w:type="gramStart"/>
      <w:r w:rsidRPr="00B40D29">
        <w:t>particular loans</w:t>
      </w:r>
      <w:proofErr w:type="gramEnd"/>
      <w:r w:rsidRPr="00B40D29">
        <w:t xml:space="preserve"> with particular items of expenditure.</w:t>
      </w:r>
    </w:p>
    <w:p w14:paraId="41E0F26F" w14:textId="77777777" w:rsidR="00D50313" w:rsidRPr="00771AF5" w:rsidRDefault="00D50313" w:rsidP="002D5343">
      <w:pPr>
        <w:rPr>
          <w:b/>
          <w:bCs/>
        </w:rPr>
      </w:pPr>
    </w:p>
    <w:p w14:paraId="6E8B5C3D" w14:textId="1DC5A1E8" w:rsidR="00770E1C" w:rsidRPr="00771AF5" w:rsidRDefault="00770E1C" w:rsidP="002D5343">
      <w:pPr>
        <w:rPr>
          <w:b/>
          <w:bCs/>
        </w:rPr>
      </w:pPr>
      <w:r w:rsidRPr="00771AF5">
        <w:rPr>
          <w:b/>
          <w:bCs/>
        </w:rPr>
        <w:t>6.5</w:t>
      </w:r>
      <w:r w:rsidRPr="00771AF5">
        <w:rPr>
          <w:b/>
          <w:bCs/>
        </w:rPr>
        <w:tab/>
        <w:t>Financial Implications</w:t>
      </w:r>
    </w:p>
    <w:p w14:paraId="697FAF5D" w14:textId="148FC51F" w:rsidR="004A501B" w:rsidRPr="00771AF5" w:rsidRDefault="00770E1C" w:rsidP="002D5343">
      <w:r w:rsidRPr="00771AF5">
        <w:t>The budget for investment income in 20</w:t>
      </w:r>
      <w:r w:rsidR="00773DA0" w:rsidRPr="00771AF5">
        <w:t>2</w:t>
      </w:r>
      <w:r w:rsidR="000568AC">
        <w:t>3</w:t>
      </w:r>
      <w:r w:rsidRPr="00771AF5">
        <w:t>/</w:t>
      </w:r>
      <w:r w:rsidR="00346A0A" w:rsidRPr="009073C8">
        <w:t>2</w:t>
      </w:r>
      <w:r w:rsidR="000568AC" w:rsidRPr="009073C8">
        <w:t>4</w:t>
      </w:r>
      <w:r w:rsidRPr="009073C8">
        <w:t xml:space="preserve"> is £0.</w:t>
      </w:r>
      <w:r w:rsidR="009073C8" w:rsidRPr="009073C8">
        <w:t>12</w:t>
      </w:r>
      <w:r w:rsidRPr="009073C8">
        <w:t xml:space="preserve"> million</w:t>
      </w:r>
      <w:r w:rsidRPr="00771AF5">
        <w:t xml:space="preserve">, based on an average investment portfolio </w:t>
      </w:r>
      <w:r w:rsidRPr="00F75FAF">
        <w:t>of £</w:t>
      </w:r>
      <w:r w:rsidR="009073C8" w:rsidRPr="00F75FAF">
        <w:t>3</w:t>
      </w:r>
      <w:r w:rsidRPr="00F75FAF">
        <w:t xml:space="preserve"> million at an interest rate of </w:t>
      </w:r>
      <w:r w:rsidR="009073C8" w:rsidRPr="00F75FAF">
        <w:t>4.0</w:t>
      </w:r>
      <w:r w:rsidRPr="00F75FAF">
        <w:t>%.</w:t>
      </w:r>
      <w:r w:rsidRPr="00771AF5">
        <w:t xml:space="preserve">  If actual levels of investments and actual interest rates differ from </w:t>
      </w:r>
      <w:proofErr w:type="gramStart"/>
      <w:r w:rsidRPr="00771AF5">
        <w:t>those forecast</w:t>
      </w:r>
      <w:proofErr w:type="gramEnd"/>
      <w:r w:rsidRPr="00771AF5">
        <w:t xml:space="preserve">, performance </w:t>
      </w:r>
      <w:r w:rsidR="00E968EC" w:rsidRPr="00771AF5">
        <w:t>will be monitored as part of financial management reporting.</w:t>
      </w:r>
    </w:p>
    <w:p w14:paraId="6EA25E20" w14:textId="77777777" w:rsidR="00771AF5" w:rsidRPr="00771AF5" w:rsidRDefault="00771AF5" w:rsidP="002D5343"/>
    <w:p w14:paraId="66AEAD5D" w14:textId="77777777" w:rsidR="00A01D3D" w:rsidRDefault="00A01D3D">
      <w:pPr>
        <w:spacing w:before="0" w:after="0" w:line="240" w:lineRule="auto"/>
        <w:rPr>
          <w:b/>
          <w:bCs/>
        </w:rPr>
      </w:pPr>
      <w:r>
        <w:rPr>
          <w:b/>
          <w:bCs/>
        </w:rPr>
        <w:br w:type="page"/>
      </w:r>
    </w:p>
    <w:p w14:paraId="0CC3FDBF" w14:textId="471E0B92" w:rsidR="00770E1C" w:rsidRPr="00771AF5" w:rsidRDefault="00770E1C" w:rsidP="002D5343">
      <w:pPr>
        <w:rPr>
          <w:b/>
          <w:bCs/>
        </w:rPr>
      </w:pPr>
      <w:r w:rsidRPr="00771AF5">
        <w:rPr>
          <w:b/>
          <w:bCs/>
        </w:rPr>
        <w:lastRenderedPageBreak/>
        <w:t>6.6</w:t>
      </w:r>
      <w:r w:rsidRPr="00771AF5">
        <w:rPr>
          <w:b/>
          <w:bCs/>
        </w:rPr>
        <w:tab/>
        <w:t>Other Options Considered</w:t>
      </w:r>
    </w:p>
    <w:p w14:paraId="55EA435B" w14:textId="31A422FF" w:rsidR="00770E1C" w:rsidRPr="00771AF5" w:rsidRDefault="00770E1C" w:rsidP="002D5343">
      <w:r w:rsidRPr="00771AF5">
        <w:t>The W</w:t>
      </w:r>
      <w:r w:rsidR="00530E12" w:rsidRPr="00771AF5">
        <w:t xml:space="preserve">elsh </w:t>
      </w:r>
      <w:r w:rsidRPr="00771AF5">
        <w:t>G</w:t>
      </w:r>
      <w:r w:rsidR="00530E12" w:rsidRPr="00771AF5">
        <w:t>overnment</w:t>
      </w:r>
      <w:r w:rsidRPr="00771AF5">
        <w:t xml:space="preserve"> Guidance and the CIPFA Code do not prescribe any </w:t>
      </w:r>
      <w:proofErr w:type="gramStart"/>
      <w:r w:rsidRPr="00771AF5">
        <w:t>particular treasury</w:t>
      </w:r>
      <w:proofErr w:type="gramEnd"/>
      <w:r w:rsidRPr="00771AF5">
        <w:t xml:space="preserve"> management strategy for local authorities to adopt.  The C</w:t>
      </w:r>
      <w:r w:rsidR="0080793E">
        <w:t>FO</w:t>
      </w:r>
      <w:r w:rsidRPr="00771AF5">
        <w:t xml:space="preserve"> believes that the above strategy represents an appropriate balance between risk management and cost effectiveness.  Some alternative strategies, with their financial and risk management implications, are listed below.</w:t>
      </w:r>
    </w:p>
    <w:tbl>
      <w:tblPr>
        <w:tblStyle w:val="GridTable4-Accent1"/>
        <w:tblW w:w="8363" w:type="dxa"/>
        <w:tblInd w:w="-5" w:type="dxa"/>
        <w:tblLook w:val="04A0" w:firstRow="1" w:lastRow="0" w:firstColumn="1" w:lastColumn="0" w:noHBand="0" w:noVBand="1"/>
      </w:tblPr>
      <w:tblGrid>
        <w:gridCol w:w="2400"/>
        <w:gridCol w:w="2383"/>
        <w:gridCol w:w="3580"/>
      </w:tblGrid>
      <w:tr w:rsidR="003C74E6" w:rsidRPr="00771AF5" w14:paraId="3B993A06" w14:textId="77777777" w:rsidTr="00640AF6">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400" w:type="dxa"/>
          </w:tcPr>
          <w:p w14:paraId="1726D207" w14:textId="77777777" w:rsidR="00770E1C" w:rsidRPr="00771AF5" w:rsidRDefault="00770E1C" w:rsidP="002D5343">
            <w:pPr>
              <w:rPr>
                <w:b w:val="0"/>
                <w:sz w:val="20"/>
                <w:szCs w:val="20"/>
              </w:rPr>
            </w:pPr>
            <w:r w:rsidRPr="00771AF5">
              <w:rPr>
                <w:sz w:val="20"/>
                <w:szCs w:val="20"/>
              </w:rPr>
              <w:t>Alternative</w:t>
            </w:r>
          </w:p>
        </w:tc>
        <w:tc>
          <w:tcPr>
            <w:tcW w:w="2383" w:type="dxa"/>
          </w:tcPr>
          <w:p w14:paraId="47541376" w14:textId="77777777" w:rsidR="00770E1C" w:rsidRPr="00771AF5" w:rsidRDefault="00770E1C" w:rsidP="002D5343">
            <w:pPr>
              <w:cnfStyle w:val="100000000000" w:firstRow="1" w:lastRow="0" w:firstColumn="0" w:lastColumn="0" w:oddVBand="0" w:evenVBand="0" w:oddHBand="0" w:evenHBand="0" w:firstRowFirstColumn="0" w:firstRowLastColumn="0" w:lastRowFirstColumn="0" w:lastRowLastColumn="0"/>
              <w:rPr>
                <w:b w:val="0"/>
                <w:sz w:val="20"/>
                <w:szCs w:val="20"/>
              </w:rPr>
            </w:pPr>
            <w:r w:rsidRPr="00771AF5">
              <w:rPr>
                <w:sz w:val="20"/>
                <w:szCs w:val="20"/>
              </w:rPr>
              <w:t>Impact on income and expenditure</w:t>
            </w:r>
          </w:p>
        </w:tc>
        <w:tc>
          <w:tcPr>
            <w:tcW w:w="3580" w:type="dxa"/>
          </w:tcPr>
          <w:p w14:paraId="7F7B6331" w14:textId="77777777" w:rsidR="00770E1C" w:rsidRPr="00771AF5" w:rsidRDefault="00770E1C" w:rsidP="002D5343">
            <w:pPr>
              <w:cnfStyle w:val="100000000000" w:firstRow="1" w:lastRow="0" w:firstColumn="0" w:lastColumn="0" w:oddVBand="0" w:evenVBand="0" w:oddHBand="0" w:evenHBand="0" w:firstRowFirstColumn="0" w:firstRowLastColumn="0" w:lastRowFirstColumn="0" w:lastRowLastColumn="0"/>
              <w:rPr>
                <w:b w:val="0"/>
                <w:sz w:val="20"/>
                <w:szCs w:val="20"/>
              </w:rPr>
            </w:pPr>
            <w:r w:rsidRPr="00771AF5">
              <w:rPr>
                <w:sz w:val="20"/>
                <w:szCs w:val="20"/>
              </w:rPr>
              <w:t>Impact on risk management</w:t>
            </w:r>
          </w:p>
        </w:tc>
      </w:tr>
      <w:tr w:rsidR="003C74E6" w:rsidRPr="00771AF5" w14:paraId="334804C9" w14:textId="77777777" w:rsidTr="00640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0053CF53" w14:textId="77777777" w:rsidR="00770E1C" w:rsidRPr="00771AF5" w:rsidRDefault="00770E1C" w:rsidP="002D5343">
            <w:pPr>
              <w:rPr>
                <w:sz w:val="20"/>
                <w:szCs w:val="20"/>
              </w:rPr>
            </w:pPr>
            <w:r w:rsidRPr="00771AF5">
              <w:rPr>
                <w:sz w:val="20"/>
                <w:szCs w:val="20"/>
              </w:rPr>
              <w:t>Invest in a narrower range of counterparties and/or for shorter times</w:t>
            </w:r>
          </w:p>
        </w:tc>
        <w:tc>
          <w:tcPr>
            <w:tcW w:w="2383" w:type="dxa"/>
          </w:tcPr>
          <w:p w14:paraId="2A456025" w14:textId="77777777" w:rsidR="00770E1C" w:rsidRPr="00771AF5" w:rsidRDefault="00770E1C" w:rsidP="002D5343">
            <w:pPr>
              <w:cnfStyle w:val="000000100000" w:firstRow="0" w:lastRow="0" w:firstColumn="0" w:lastColumn="0" w:oddVBand="0" w:evenVBand="0" w:oddHBand="1" w:evenHBand="0" w:firstRowFirstColumn="0" w:firstRowLastColumn="0" w:lastRowFirstColumn="0" w:lastRowLastColumn="0"/>
              <w:rPr>
                <w:sz w:val="20"/>
                <w:szCs w:val="20"/>
              </w:rPr>
            </w:pPr>
            <w:r w:rsidRPr="00771AF5">
              <w:rPr>
                <w:sz w:val="20"/>
                <w:szCs w:val="20"/>
              </w:rPr>
              <w:t>Interest income will be lower</w:t>
            </w:r>
          </w:p>
        </w:tc>
        <w:tc>
          <w:tcPr>
            <w:tcW w:w="3580" w:type="dxa"/>
          </w:tcPr>
          <w:p w14:paraId="42863FBD" w14:textId="77777777" w:rsidR="00770E1C" w:rsidRPr="00771AF5" w:rsidRDefault="00770E1C" w:rsidP="002D5343">
            <w:pPr>
              <w:cnfStyle w:val="000000100000" w:firstRow="0" w:lastRow="0" w:firstColumn="0" w:lastColumn="0" w:oddVBand="0" w:evenVBand="0" w:oddHBand="1" w:evenHBand="0" w:firstRowFirstColumn="0" w:firstRowLastColumn="0" w:lastRowFirstColumn="0" w:lastRowLastColumn="0"/>
              <w:rPr>
                <w:sz w:val="20"/>
                <w:szCs w:val="20"/>
              </w:rPr>
            </w:pPr>
            <w:r w:rsidRPr="00771AF5">
              <w:rPr>
                <w:sz w:val="20"/>
                <w:szCs w:val="20"/>
              </w:rPr>
              <w:t>Lower chance of losses from credit related defaults, but any such losses may be greater</w:t>
            </w:r>
          </w:p>
        </w:tc>
      </w:tr>
      <w:tr w:rsidR="003C74E6" w:rsidRPr="00771AF5" w14:paraId="7892E82B" w14:textId="77777777" w:rsidTr="00640AF6">
        <w:tc>
          <w:tcPr>
            <w:cnfStyle w:val="001000000000" w:firstRow="0" w:lastRow="0" w:firstColumn="1" w:lastColumn="0" w:oddVBand="0" w:evenVBand="0" w:oddHBand="0" w:evenHBand="0" w:firstRowFirstColumn="0" w:firstRowLastColumn="0" w:lastRowFirstColumn="0" w:lastRowLastColumn="0"/>
            <w:tcW w:w="2400" w:type="dxa"/>
          </w:tcPr>
          <w:p w14:paraId="6CEC65AA" w14:textId="77777777" w:rsidR="00770E1C" w:rsidRPr="00771AF5" w:rsidRDefault="00770E1C" w:rsidP="002D5343">
            <w:pPr>
              <w:rPr>
                <w:sz w:val="20"/>
                <w:szCs w:val="20"/>
              </w:rPr>
            </w:pPr>
            <w:r w:rsidRPr="00771AF5">
              <w:rPr>
                <w:sz w:val="20"/>
                <w:szCs w:val="20"/>
              </w:rPr>
              <w:t>Invest in a wider range of counterparties and/or for longer times</w:t>
            </w:r>
          </w:p>
        </w:tc>
        <w:tc>
          <w:tcPr>
            <w:tcW w:w="2383" w:type="dxa"/>
          </w:tcPr>
          <w:p w14:paraId="44051202" w14:textId="77777777" w:rsidR="00770E1C" w:rsidRPr="00771AF5" w:rsidRDefault="00770E1C" w:rsidP="002D5343">
            <w:pPr>
              <w:cnfStyle w:val="000000000000" w:firstRow="0" w:lastRow="0" w:firstColumn="0" w:lastColumn="0" w:oddVBand="0" w:evenVBand="0" w:oddHBand="0" w:evenHBand="0" w:firstRowFirstColumn="0" w:firstRowLastColumn="0" w:lastRowFirstColumn="0" w:lastRowLastColumn="0"/>
              <w:rPr>
                <w:sz w:val="20"/>
                <w:szCs w:val="20"/>
              </w:rPr>
            </w:pPr>
            <w:r w:rsidRPr="00771AF5">
              <w:rPr>
                <w:sz w:val="20"/>
                <w:szCs w:val="20"/>
              </w:rPr>
              <w:t>Interest income will be higher</w:t>
            </w:r>
          </w:p>
        </w:tc>
        <w:tc>
          <w:tcPr>
            <w:tcW w:w="3580" w:type="dxa"/>
          </w:tcPr>
          <w:p w14:paraId="1190BC42" w14:textId="77777777" w:rsidR="00770E1C" w:rsidRPr="00771AF5" w:rsidRDefault="00770E1C" w:rsidP="002D5343">
            <w:pPr>
              <w:cnfStyle w:val="000000000000" w:firstRow="0" w:lastRow="0" w:firstColumn="0" w:lastColumn="0" w:oddVBand="0" w:evenVBand="0" w:oddHBand="0" w:evenHBand="0" w:firstRowFirstColumn="0" w:firstRowLastColumn="0" w:lastRowFirstColumn="0" w:lastRowLastColumn="0"/>
              <w:rPr>
                <w:sz w:val="20"/>
                <w:szCs w:val="20"/>
              </w:rPr>
            </w:pPr>
            <w:r w:rsidRPr="00771AF5">
              <w:rPr>
                <w:sz w:val="20"/>
                <w:szCs w:val="20"/>
              </w:rPr>
              <w:t>Increased risk of losses from credit related defaults, but any such losses may be smaller</w:t>
            </w:r>
          </w:p>
        </w:tc>
      </w:tr>
      <w:tr w:rsidR="003C74E6" w:rsidRPr="00771AF5" w14:paraId="421F168A" w14:textId="77777777" w:rsidTr="00640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36E1C2AA" w14:textId="77777777" w:rsidR="00770E1C" w:rsidRPr="00771AF5" w:rsidRDefault="00770E1C" w:rsidP="002D5343">
            <w:pPr>
              <w:rPr>
                <w:sz w:val="20"/>
                <w:szCs w:val="20"/>
              </w:rPr>
            </w:pPr>
            <w:r w:rsidRPr="00771AF5">
              <w:rPr>
                <w:sz w:val="20"/>
                <w:szCs w:val="20"/>
              </w:rPr>
              <w:t>Borrow additional sums at long-term fixed interest rates</w:t>
            </w:r>
          </w:p>
        </w:tc>
        <w:tc>
          <w:tcPr>
            <w:tcW w:w="2383" w:type="dxa"/>
          </w:tcPr>
          <w:p w14:paraId="0DF5D624" w14:textId="77777777" w:rsidR="00770E1C" w:rsidRPr="00771AF5" w:rsidRDefault="00770E1C" w:rsidP="002D5343">
            <w:pPr>
              <w:cnfStyle w:val="000000100000" w:firstRow="0" w:lastRow="0" w:firstColumn="0" w:lastColumn="0" w:oddVBand="0" w:evenVBand="0" w:oddHBand="1" w:evenHBand="0" w:firstRowFirstColumn="0" w:firstRowLastColumn="0" w:lastRowFirstColumn="0" w:lastRowLastColumn="0"/>
              <w:rPr>
                <w:sz w:val="20"/>
                <w:szCs w:val="20"/>
              </w:rPr>
            </w:pPr>
            <w:r w:rsidRPr="00771AF5">
              <w:rPr>
                <w:sz w:val="20"/>
                <w:szCs w:val="20"/>
              </w:rPr>
              <w:t>Debt interest costs will rise; this is unlikely to be offset by higher investment income</w:t>
            </w:r>
          </w:p>
        </w:tc>
        <w:tc>
          <w:tcPr>
            <w:tcW w:w="3580" w:type="dxa"/>
          </w:tcPr>
          <w:p w14:paraId="2B24E983" w14:textId="77777777" w:rsidR="00770E1C" w:rsidRPr="00771AF5" w:rsidRDefault="00770E1C" w:rsidP="002D5343">
            <w:pPr>
              <w:cnfStyle w:val="000000100000" w:firstRow="0" w:lastRow="0" w:firstColumn="0" w:lastColumn="0" w:oddVBand="0" w:evenVBand="0" w:oddHBand="1" w:evenHBand="0" w:firstRowFirstColumn="0" w:firstRowLastColumn="0" w:lastRowFirstColumn="0" w:lastRowLastColumn="0"/>
              <w:rPr>
                <w:sz w:val="20"/>
                <w:szCs w:val="20"/>
              </w:rPr>
            </w:pPr>
            <w:r w:rsidRPr="00771AF5">
              <w:rPr>
                <w:sz w:val="20"/>
                <w:szCs w:val="20"/>
              </w:rPr>
              <w:t>Higher investment balance leading to a higher impact in the event of a default; however long-term interest costs may be more certain</w:t>
            </w:r>
          </w:p>
        </w:tc>
      </w:tr>
      <w:tr w:rsidR="003C74E6" w:rsidRPr="00771AF5" w14:paraId="4B9AFDCB" w14:textId="77777777" w:rsidTr="00640AF6">
        <w:tc>
          <w:tcPr>
            <w:cnfStyle w:val="001000000000" w:firstRow="0" w:lastRow="0" w:firstColumn="1" w:lastColumn="0" w:oddVBand="0" w:evenVBand="0" w:oddHBand="0" w:evenHBand="0" w:firstRowFirstColumn="0" w:firstRowLastColumn="0" w:lastRowFirstColumn="0" w:lastRowLastColumn="0"/>
            <w:tcW w:w="2400" w:type="dxa"/>
          </w:tcPr>
          <w:p w14:paraId="3DB07EB4" w14:textId="77777777" w:rsidR="00770E1C" w:rsidRPr="00771AF5" w:rsidRDefault="00770E1C" w:rsidP="002D5343">
            <w:pPr>
              <w:rPr>
                <w:sz w:val="20"/>
                <w:szCs w:val="20"/>
              </w:rPr>
            </w:pPr>
            <w:r w:rsidRPr="00771AF5">
              <w:rPr>
                <w:sz w:val="20"/>
                <w:szCs w:val="20"/>
              </w:rPr>
              <w:t>Borrow short-term or variable loans instead of long-term fixed rates</w:t>
            </w:r>
          </w:p>
        </w:tc>
        <w:tc>
          <w:tcPr>
            <w:tcW w:w="2383" w:type="dxa"/>
          </w:tcPr>
          <w:p w14:paraId="36F99FAD" w14:textId="77777777" w:rsidR="00770E1C" w:rsidRPr="00771AF5" w:rsidRDefault="00770E1C" w:rsidP="002D5343">
            <w:pPr>
              <w:cnfStyle w:val="000000000000" w:firstRow="0" w:lastRow="0" w:firstColumn="0" w:lastColumn="0" w:oddVBand="0" w:evenVBand="0" w:oddHBand="0" w:evenHBand="0" w:firstRowFirstColumn="0" w:firstRowLastColumn="0" w:lastRowFirstColumn="0" w:lastRowLastColumn="0"/>
              <w:rPr>
                <w:sz w:val="20"/>
                <w:szCs w:val="20"/>
              </w:rPr>
            </w:pPr>
            <w:r w:rsidRPr="00771AF5">
              <w:rPr>
                <w:sz w:val="20"/>
                <w:szCs w:val="20"/>
              </w:rPr>
              <w:t>Debt interest costs will initially be lower</w:t>
            </w:r>
          </w:p>
        </w:tc>
        <w:tc>
          <w:tcPr>
            <w:tcW w:w="3580" w:type="dxa"/>
          </w:tcPr>
          <w:p w14:paraId="216F72FC" w14:textId="77777777" w:rsidR="00770E1C" w:rsidRPr="00771AF5" w:rsidRDefault="00770E1C" w:rsidP="002D5343">
            <w:pPr>
              <w:cnfStyle w:val="000000000000" w:firstRow="0" w:lastRow="0" w:firstColumn="0" w:lastColumn="0" w:oddVBand="0" w:evenVBand="0" w:oddHBand="0" w:evenHBand="0" w:firstRowFirstColumn="0" w:firstRowLastColumn="0" w:lastRowFirstColumn="0" w:lastRowLastColumn="0"/>
              <w:rPr>
                <w:sz w:val="20"/>
                <w:szCs w:val="20"/>
              </w:rPr>
            </w:pPr>
            <w:r w:rsidRPr="00771AF5">
              <w:rPr>
                <w:sz w:val="20"/>
                <w:szCs w:val="20"/>
              </w:rPr>
              <w:t xml:space="preserve">Increases in debt interest costs will be broadly offset by rising investment income in the medium term, but </w:t>
            </w:r>
            <w:proofErr w:type="gramStart"/>
            <w:r w:rsidRPr="00771AF5">
              <w:rPr>
                <w:sz w:val="20"/>
                <w:szCs w:val="20"/>
              </w:rPr>
              <w:t>long term</w:t>
            </w:r>
            <w:proofErr w:type="gramEnd"/>
            <w:r w:rsidRPr="00771AF5">
              <w:rPr>
                <w:sz w:val="20"/>
                <w:szCs w:val="20"/>
              </w:rPr>
              <w:t xml:space="preserve"> costs may be less certain</w:t>
            </w:r>
          </w:p>
        </w:tc>
      </w:tr>
      <w:tr w:rsidR="003C74E6" w:rsidRPr="00771AF5" w14:paraId="4F527C4A" w14:textId="77777777" w:rsidTr="00640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14074332" w14:textId="77777777" w:rsidR="00770E1C" w:rsidRPr="00771AF5" w:rsidRDefault="00770E1C" w:rsidP="002D5343">
            <w:pPr>
              <w:rPr>
                <w:sz w:val="20"/>
                <w:szCs w:val="20"/>
              </w:rPr>
            </w:pPr>
            <w:r w:rsidRPr="00771AF5">
              <w:rPr>
                <w:sz w:val="20"/>
                <w:szCs w:val="20"/>
              </w:rPr>
              <w:t xml:space="preserve">Reduce level of borrowing </w:t>
            </w:r>
          </w:p>
        </w:tc>
        <w:tc>
          <w:tcPr>
            <w:tcW w:w="2383" w:type="dxa"/>
          </w:tcPr>
          <w:p w14:paraId="75A97E99" w14:textId="77777777" w:rsidR="00770E1C" w:rsidRPr="00771AF5" w:rsidRDefault="00770E1C" w:rsidP="002D5343">
            <w:pPr>
              <w:cnfStyle w:val="000000100000" w:firstRow="0" w:lastRow="0" w:firstColumn="0" w:lastColumn="0" w:oddVBand="0" w:evenVBand="0" w:oddHBand="1" w:evenHBand="0" w:firstRowFirstColumn="0" w:firstRowLastColumn="0" w:lastRowFirstColumn="0" w:lastRowLastColumn="0"/>
              <w:rPr>
                <w:sz w:val="20"/>
                <w:szCs w:val="20"/>
              </w:rPr>
            </w:pPr>
            <w:r w:rsidRPr="00771AF5">
              <w:rPr>
                <w:sz w:val="20"/>
                <w:szCs w:val="20"/>
              </w:rPr>
              <w:t xml:space="preserve">Saving on debt interest is likely to exceed lost investment </w:t>
            </w:r>
            <w:r w:rsidR="00E86F65" w:rsidRPr="00771AF5">
              <w:rPr>
                <w:sz w:val="20"/>
                <w:szCs w:val="20"/>
              </w:rPr>
              <w:t>income</w:t>
            </w:r>
          </w:p>
        </w:tc>
        <w:tc>
          <w:tcPr>
            <w:tcW w:w="3580" w:type="dxa"/>
          </w:tcPr>
          <w:p w14:paraId="026A9E95" w14:textId="77777777" w:rsidR="00770E1C" w:rsidRPr="00771AF5" w:rsidRDefault="00770E1C" w:rsidP="002D5343">
            <w:pPr>
              <w:cnfStyle w:val="000000100000" w:firstRow="0" w:lastRow="0" w:firstColumn="0" w:lastColumn="0" w:oddVBand="0" w:evenVBand="0" w:oddHBand="1" w:evenHBand="0" w:firstRowFirstColumn="0" w:firstRowLastColumn="0" w:lastRowFirstColumn="0" w:lastRowLastColumn="0"/>
              <w:rPr>
                <w:sz w:val="20"/>
                <w:szCs w:val="20"/>
              </w:rPr>
            </w:pPr>
            <w:r w:rsidRPr="00771AF5">
              <w:rPr>
                <w:sz w:val="20"/>
                <w:szCs w:val="20"/>
              </w:rPr>
              <w:t>Reduced investment balance leading to a lower impact in the event of a default; however long-term interest costs may be less</w:t>
            </w:r>
            <w:r w:rsidR="00E86F65" w:rsidRPr="00771AF5">
              <w:rPr>
                <w:sz w:val="20"/>
                <w:szCs w:val="20"/>
              </w:rPr>
              <w:t xml:space="preserve"> c</w:t>
            </w:r>
            <w:r w:rsidRPr="00771AF5">
              <w:rPr>
                <w:sz w:val="20"/>
                <w:szCs w:val="20"/>
              </w:rPr>
              <w:t>ertain</w:t>
            </w:r>
          </w:p>
        </w:tc>
      </w:tr>
    </w:tbl>
    <w:p w14:paraId="70CC60BF" w14:textId="77777777" w:rsidR="0092031B" w:rsidRDefault="0092031B" w:rsidP="003C36D7">
      <w:pPr>
        <w:spacing w:before="0" w:after="240"/>
        <w:rPr>
          <w:rFonts w:eastAsia="Times New Roman" w:cs="Times New Roman"/>
          <w:spacing w:val="-5"/>
          <w:szCs w:val="20"/>
        </w:rPr>
      </w:pPr>
    </w:p>
    <w:p w14:paraId="3FB35F93" w14:textId="77777777" w:rsidR="0080793E" w:rsidRDefault="0080793E">
      <w:pPr>
        <w:spacing w:before="0" w:after="0" w:line="240" w:lineRule="auto"/>
        <w:rPr>
          <w:rFonts w:eastAsia="Times New Roman" w:cs="Times New Roman"/>
          <w:spacing w:val="-5"/>
          <w:szCs w:val="20"/>
        </w:rPr>
      </w:pPr>
      <w:r>
        <w:rPr>
          <w:rFonts w:eastAsia="Times New Roman" w:cs="Times New Roman"/>
          <w:spacing w:val="-5"/>
          <w:szCs w:val="20"/>
        </w:rPr>
        <w:br w:type="page"/>
      </w:r>
    </w:p>
    <w:p w14:paraId="1A3F3B08" w14:textId="1EB5CE2D" w:rsidR="00770E1C" w:rsidRPr="0080793E" w:rsidRDefault="00770E1C" w:rsidP="0080793E">
      <w:pPr>
        <w:spacing w:before="0" w:after="0" w:line="240" w:lineRule="auto"/>
        <w:rPr>
          <w:rFonts w:eastAsia="Times New Roman" w:cs="Times New Roman"/>
          <w:b/>
          <w:bCs/>
          <w:spacing w:val="-5"/>
          <w:szCs w:val="20"/>
        </w:rPr>
      </w:pPr>
      <w:r w:rsidRPr="0080793E">
        <w:rPr>
          <w:b/>
          <w:bCs/>
        </w:rPr>
        <w:lastRenderedPageBreak/>
        <w:t xml:space="preserve">Appendix </w:t>
      </w:r>
      <w:r w:rsidR="00D50313" w:rsidRPr="0080793E">
        <w:rPr>
          <w:b/>
          <w:bCs/>
        </w:rPr>
        <w:t>A</w:t>
      </w:r>
      <w:r w:rsidRPr="0080793E">
        <w:rPr>
          <w:b/>
          <w:bCs/>
        </w:rPr>
        <w:t xml:space="preserve"> – </w:t>
      </w:r>
      <w:r w:rsidR="001E4FD5" w:rsidRPr="0080793E">
        <w:rPr>
          <w:b/>
          <w:bCs/>
        </w:rPr>
        <w:t xml:space="preserve">Existing </w:t>
      </w:r>
      <w:r w:rsidRPr="0080793E">
        <w:rPr>
          <w:b/>
          <w:bCs/>
        </w:rPr>
        <w:t xml:space="preserve">Investment &amp; Debt Portfolio Position </w:t>
      </w:r>
    </w:p>
    <w:p w14:paraId="5480226A" w14:textId="77777777" w:rsidR="00640AF6" w:rsidRPr="004A501B" w:rsidRDefault="00640AF6" w:rsidP="002D5343"/>
    <w:tbl>
      <w:tblPr>
        <w:tblStyle w:val="GridTable4-Accent1"/>
        <w:tblW w:w="8364" w:type="dxa"/>
        <w:tblInd w:w="-5" w:type="dxa"/>
        <w:tblLook w:val="04A0" w:firstRow="1" w:lastRow="0" w:firstColumn="1" w:lastColumn="0" w:noHBand="0" w:noVBand="1"/>
      </w:tblPr>
      <w:tblGrid>
        <w:gridCol w:w="3119"/>
        <w:gridCol w:w="2665"/>
        <w:gridCol w:w="2580"/>
      </w:tblGrid>
      <w:tr w:rsidR="003C74E6" w:rsidRPr="004A501B" w14:paraId="620EC896" w14:textId="77777777" w:rsidTr="003C36D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dxa"/>
          </w:tcPr>
          <w:p w14:paraId="6700CA07" w14:textId="5D579630" w:rsidR="003A57D9" w:rsidRPr="00C3125C" w:rsidRDefault="00830E27">
            <w:pPr>
              <w:rPr>
                <w:sz w:val="20"/>
                <w:szCs w:val="20"/>
              </w:rPr>
            </w:pPr>
            <w:r w:rsidRPr="00C3125C">
              <w:rPr>
                <w:sz w:val="20"/>
                <w:szCs w:val="20"/>
              </w:rPr>
              <w:t>External Borrowing</w:t>
            </w:r>
          </w:p>
        </w:tc>
        <w:tc>
          <w:tcPr>
            <w:tcW w:w="0" w:type="dxa"/>
          </w:tcPr>
          <w:p w14:paraId="1484FA31" w14:textId="60E71544" w:rsidR="003A57D9" w:rsidRPr="00C3125C" w:rsidRDefault="00C3125C"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28</w:t>
            </w:r>
            <w:r w:rsidR="00773DA0" w:rsidRPr="00C3125C">
              <w:rPr>
                <w:sz w:val="20"/>
                <w:szCs w:val="20"/>
              </w:rPr>
              <w:t xml:space="preserve"> </w:t>
            </w:r>
            <w:r>
              <w:rPr>
                <w:sz w:val="20"/>
                <w:szCs w:val="20"/>
              </w:rPr>
              <w:t>Feb</w:t>
            </w:r>
            <w:r w:rsidR="00BD753A" w:rsidRPr="00C3125C">
              <w:rPr>
                <w:sz w:val="20"/>
                <w:szCs w:val="20"/>
              </w:rPr>
              <w:t xml:space="preserve"> 202</w:t>
            </w:r>
            <w:r w:rsidR="00BF3A73" w:rsidRPr="00C3125C">
              <w:rPr>
                <w:sz w:val="20"/>
                <w:szCs w:val="20"/>
              </w:rPr>
              <w:t>3</w:t>
            </w:r>
          </w:p>
          <w:p w14:paraId="37AAD342" w14:textId="305DAB64" w:rsidR="003A57D9" w:rsidRPr="00C3125C" w:rsidRDefault="003A57D9"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3125C">
              <w:rPr>
                <w:sz w:val="20"/>
                <w:szCs w:val="20"/>
              </w:rPr>
              <w:t>Actual Portfolio</w:t>
            </w:r>
          </w:p>
          <w:p w14:paraId="24535173" w14:textId="2F77566E" w:rsidR="003A57D9" w:rsidRPr="00C3125C" w:rsidRDefault="003A57D9"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3125C">
              <w:rPr>
                <w:sz w:val="20"/>
                <w:szCs w:val="20"/>
              </w:rPr>
              <w:t>£m</w:t>
            </w:r>
          </w:p>
        </w:tc>
        <w:tc>
          <w:tcPr>
            <w:tcW w:w="0" w:type="dxa"/>
          </w:tcPr>
          <w:p w14:paraId="03018D58" w14:textId="5A1E81D9" w:rsidR="003A57D9" w:rsidRPr="00C3125C" w:rsidRDefault="00C3125C"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28</w:t>
            </w:r>
            <w:r w:rsidR="00773DA0" w:rsidRPr="00C3125C">
              <w:rPr>
                <w:sz w:val="20"/>
                <w:szCs w:val="20"/>
              </w:rPr>
              <w:t xml:space="preserve"> </w:t>
            </w:r>
            <w:r>
              <w:rPr>
                <w:sz w:val="20"/>
                <w:szCs w:val="20"/>
              </w:rPr>
              <w:t>Feb</w:t>
            </w:r>
            <w:r w:rsidR="00773DA0" w:rsidRPr="00C3125C">
              <w:rPr>
                <w:sz w:val="20"/>
                <w:szCs w:val="20"/>
              </w:rPr>
              <w:t xml:space="preserve"> 202</w:t>
            </w:r>
            <w:r w:rsidR="00BF3A73" w:rsidRPr="00C3125C">
              <w:rPr>
                <w:sz w:val="20"/>
                <w:szCs w:val="20"/>
              </w:rPr>
              <w:t>3</w:t>
            </w:r>
          </w:p>
          <w:p w14:paraId="6D981A32" w14:textId="77777777" w:rsidR="003A57D9" w:rsidRPr="00C3125C" w:rsidRDefault="003A57D9"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3125C">
              <w:rPr>
                <w:sz w:val="20"/>
                <w:szCs w:val="20"/>
              </w:rPr>
              <w:t>Average Rate</w:t>
            </w:r>
          </w:p>
          <w:p w14:paraId="2B6879A0" w14:textId="7F31D6F7" w:rsidR="003A57D9" w:rsidRPr="00C3125C" w:rsidRDefault="003A57D9"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3125C">
              <w:rPr>
                <w:sz w:val="20"/>
                <w:szCs w:val="20"/>
              </w:rPr>
              <w:t>%</w:t>
            </w:r>
          </w:p>
        </w:tc>
      </w:tr>
      <w:tr w:rsidR="003C74E6" w:rsidRPr="004A501B" w14:paraId="427D8C81" w14:textId="77777777" w:rsidTr="003C36D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dxa"/>
            <w:vAlign w:val="center"/>
          </w:tcPr>
          <w:p w14:paraId="6C321E0C" w14:textId="25D0BF75" w:rsidR="00830E27" w:rsidRPr="00FB10AD" w:rsidRDefault="003A57D9" w:rsidP="00F311BF">
            <w:pPr>
              <w:rPr>
                <w:sz w:val="20"/>
                <w:szCs w:val="20"/>
              </w:rPr>
            </w:pPr>
            <w:r w:rsidRPr="00FB10AD">
              <w:rPr>
                <w:sz w:val="20"/>
                <w:szCs w:val="20"/>
              </w:rPr>
              <w:t>PWLB – Fixed Rate</w:t>
            </w:r>
            <w:r w:rsidR="00F311BF" w:rsidRPr="00FB10AD">
              <w:rPr>
                <w:sz w:val="20"/>
                <w:szCs w:val="20"/>
              </w:rPr>
              <w:t xml:space="preserve"> </w:t>
            </w:r>
            <w:r w:rsidR="00830E27" w:rsidRPr="00FB10AD">
              <w:rPr>
                <w:sz w:val="20"/>
                <w:szCs w:val="20"/>
              </w:rPr>
              <w:t>Long Term</w:t>
            </w:r>
          </w:p>
        </w:tc>
        <w:tc>
          <w:tcPr>
            <w:tcW w:w="0" w:type="dxa"/>
            <w:vAlign w:val="center"/>
          </w:tcPr>
          <w:p w14:paraId="59B7A05A" w14:textId="2D4BF9EF" w:rsidR="003A57D9" w:rsidRPr="00C3125C" w:rsidRDefault="00773DA0"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125C">
              <w:rPr>
                <w:sz w:val="20"/>
                <w:szCs w:val="20"/>
              </w:rPr>
              <w:t>1.</w:t>
            </w:r>
            <w:r w:rsidR="00BF3A73" w:rsidRPr="00C3125C">
              <w:rPr>
                <w:sz w:val="20"/>
                <w:szCs w:val="20"/>
              </w:rPr>
              <w:t>12</w:t>
            </w:r>
          </w:p>
        </w:tc>
        <w:tc>
          <w:tcPr>
            <w:tcW w:w="0" w:type="dxa"/>
            <w:vAlign w:val="center"/>
          </w:tcPr>
          <w:p w14:paraId="748F8F68" w14:textId="1AAEB722" w:rsidR="003A57D9" w:rsidRPr="00C3125C" w:rsidRDefault="003A57D9"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C3125C">
              <w:rPr>
                <w:sz w:val="20"/>
                <w:szCs w:val="20"/>
              </w:rPr>
              <w:t>9.31</w:t>
            </w:r>
          </w:p>
        </w:tc>
      </w:tr>
      <w:tr w:rsidR="003C74E6" w:rsidRPr="004A501B" w14:paraId="668EB32E" w14:textId="77777777" w:rsidTr="003C36D7">
        <w:trPr>
          <w:trHeight w:val="510"/>
        </w:trPr>
        <w:tc>
          <w:tcPr>
            <w:cnfStyle w:val="001000000000" w:firstRow="0" w:lastRow="0" w:firstColumn="1" w:lastColumn="0" w:oddVBand="0" w:evenVBand="0" w:oddHBand="0" w:evenHBand="0" w:firstRowFirstColumn="0" w:firstRowLastColumn="0" w:lastRowFirstColumn="0" w:lastRowLastColumn="0"/>
            <w:tcW w:w="0" w:type="dxa"/>
            <w:vAlign w:val="center"/>
          </w:tcPr>
          <w:p w14:paraId="6584174A" w14:textId="42F6D7AD" w:rsidR="003A57D9" w:rsidRPr="00FB10AD" w:rsidRDefault="003A57D9" w:rsidP="002D5343">
            <w:pPr>
              <w:rPr>
                <w:sz w:val="20"/>
                <w:szCs w:val="20"/>
              </w:rPr>
            </w:pPr>
            <w:r w:rsidRPr="00FB10AD">
              <w:rPr>
                <w:sz w:val="20"/>
                <w:szCs w:val="20"/>
              </w:rPr>
              <w:t>Total Gross External Debt</w:t>
            </w:r>
          </w:p>
        </w:tc>
        <w:tc>
          <w:tcPr>
            <w:tcW w:w="0" w:type="dxa"/>
            <w:vAlign w:val="center"/>
          </w:tcPr>
          <w:p w14:paraId="177E5757" w14:textId="03528081" w:rsidR="003A57D9" w:rsidRPr="00C3125C" w:rsidRDefault="003A57D9"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125C">
              <w:rPr>
                <w:sz w:val="20"/>
                <w:szCs w:val="20"/>
              </w:rPr>
              <w:t>1.</w:t>
            </w:r>
            <w:r w:rsidR="00BF3A73" w:rsidRPr="00C3125C">
              <w:rPr>
                <w:sz w:val="20"/>
                <w:szCs w:val="20"/>
              </w:rPr>
              <w:t>12</w:t>
            </w:r>
          </w:p>
        </w:tc>
        <w:tc>
          <w:tcPr>
            <w:tcW w:w="0" w:type="dxa"/>
            <w:vAlign w:val="center"/>
          </w:tcPr>
          <w:p w14:paraId="64E955D5" w14:textId="7572745A" w:rsidR="003A57D9" w:rsidRPr="00C3125C" w:rsidRDefault="003A57D9"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C3125C">
              <w:rPr>
                <w:sz w:val="20"/>
                <w:szCs w:val="20"/>
              </w:rPr>
              <w:t>9.31</w:t>
            </w:r>
          </w:p>
        </w:tc>
      </w:tr>
    </w:tbl>
    <w:p w14:paraId="6DD0CD38" w14:textId="4A40C6FD" w:rsidR="00BB405F" w:rsidRDefault="00BB405F" w:rsidP="002D5343"/>
    <w:p w14:paraId="790536CC" w14:textId="77777777" w:rsidR="00062E55" w:rsidRPr="004A501B" w:rsidRDefault="00062E55" w:rsidP="00062E55">
      <w:r w:rsidRPr="004A501B">
        <w:t>Long term debt is dated pre-1990. Balances are calculated on a bi-annual basis (30</w:t>
      </w:r>
      <w:r w:rsidRPr="004A501B">
        <w:rPr>
          <w:vertAlign w:val="superscript"/>
        </w:rPr>
        <w:t>th</w:t>
      </w:r>
      <w:r w:rsidRPr="004A501B">
        <w:t xml:space="preserve"> September and 31</w:t>
      </w:r>
      <w:r w:rsidRPr="004A501B">
        <w:rPr>
          <w:vertAlign w:val="superscript"/>
        </w:rPr>
        <w:t>st</w:t>
      </w:r>
      <w:r w:rsidRPr="004A501B">
        <w:t xml:space="preserve"> March).</w:t>
      </w:r>
    </w:p>
    <w:p w14:paraId="6A7080AC" w14:textId="77777777" w:rsidR="00062E55" w:rsidRPr="004A501B" w:rsidRDefault="00062E55" w:rsidP="002D5343"/>
    <w:tbl>
      <w:tblPr>
        <w:tblStyle w:val="GridTable4-Accent1"/>
        <w:tblW w:w="8364" w:type="dxa"/>
        <w:tblInd w:w="-5" w:type="dxa"/>
        <w:tblLook w:val="04A0" w:firstRow="1" w:lastRow="0" w:firstColumn="1" w:lastColumn="0" w:noHBand="0" w:noVBand="1"/>
      </w:tblPr>
      <w:tblGrid>
        <w:gridCol w:w="3119"/>
        <w:gridCol w:w="2383"/>
        <w:gridCol w:w="2862"/>
      </w:tblGrid>
      <w:tr w:rsidR="003C74E6" w:rsidRPr="004A501B" w14:paraId="5D5C1540" w14:textId="77777777" w:rsidTr="003C36D7">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0" w:type="dxa"/>
            <w:shd w:val="clear" w:color="auto" w:fill="4F81BD"/>
          </w:tcPr>
          <w:p w14:paraId="0B7CCDA5" w14:textId="6EBDCAD7" w:rsidR="003A57D9" w:rsidRPr="00C3125C" w:rsidRDefault="003A57D9">
            <w:pPr>
              <w:rPr>
                <w:sz w:val="20"/>
                <w:szCs w:val="20"/>
              </w:rPr>
            </w:pPr>
            <w:r w:rsidRPr="00C3125C">
              <w:rPr>
                <w:sz w:val="20"/>
                <w:szCs w:val="20"/>
              </w:rPr>
              <w:t>Investments Managed in-house</w:t>
            </w:r>
          </w:p>
        </w:tc>
        <w:tc>
          <w:tcPr>
            <w:tcW w:w="0" w:type="dxa"/>
            <w:shd w:val="clear" w:color="auto" w:fill="4F81BD"/>
          </w:tcPr>
          <w:p w14:paraId="3BC87F43" w14:textId="1C06CEAE" w:rsidR="003A57D9" w:rsidRPr="00C3125C" w:rsidRDefault="00C3125C"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3125C">
              <w:rPr>
                <w:sz w:val="20"/>
                <w:szCs w:val="20"/>
              </w:rPr>
              <w:t>28</w:t>
            </w:r>
            <w:r w:rsidR="00773DA0" w:rsidRPr="00C3125C">
              <w:rPr>
                <w:sz w:val="20"/>
                <w:szCs w:val="20"/>
              </w:rPr>
              <w:t xml:space="preserve"> </w:t>
            </w:r>
            <w:r w:rsidRPr="00C3125C">
              <w:rPr>
                <w:sz w:val="20"/>
                <w:szCs w:val="20"/>
              </w:rPr>
              <w:t>Feb</w:t>
            </w:r>
            <w:r w:rsidR="00773DA0" w:rsidRPr="00C3125C">
              <w:rPr>
                <w:sz w:val="20"/>
                <w:szCs w:val="20"/>
              </w:rPr>
              <w:t xml:space="preserve"> 20</w:t>
            </w:r>
            <w:r w:rsidR="00F311BF" w:rsidRPr="00C3125C">
              <w:rPr>
                <w:sz w:val="20"/>
                <w:szCs w:val="20"/>
              </w:rPr>
              <w:t>2</w:t>
            </w:r>
            <w:r w:rsidR="00BF3A73" w:rsidRPr="00C3125C">
              <w:rPr>
                <w:sz w:val="20"/>
                <w:szCs w:val="20"/>
              </w:rPr>
              <w:t>3</w:t>
            </w:r>
          </w:p>
          <w:p w14:paraId="15C6EED4" w14:textId="77777777" w:rsidR="003A57D9" w:rsidRPr="00C3125C" w:rsidRDefault="003A57D9"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3125C">
              <w:rPr>
                <w:sz w:val="20"/>
                <w:szCs w:val="20"/>
              </w:rPr>
              <w:t>Actual Portfolio</w:t>
            </w:r>
          </w:p>
          <w:p w14:paraId="4DE9F5ED" w14:textId="0BC50B6B" w:rsidR="003A57D9" w:rsidRPr="00C3125C" w:rsidRDefault="003A57D9"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3125C">
              <w:rPr>
                <w:sz w:val="20"/>
                <w:szCs w:val="20"/>
              </w:rPr>
              <w:t>£m</w:t>
            </w:r>
          </w:p>
        </w:tc>
        <w:tc>
          <w:tcPr>
            <w:tcW w:w="0" w:type="dxa"/>
            <w:shd w:val="clear" w:color="auto" w:fill="4F81BD"/>
          </w:tcPr>
          <w:p w14:paraId="6237E930" w14:textId="141F576E" w:rsidR="00773DA0" w:rsidRPr="00C3125C" w:rsidRDefault="00C3125C"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28 Feb</w:t>
            </w:r>
            <w:r w:rsidR="00773DA0" w:rsidRPr="00C3125C">
              <w:rPr>
                <w:sz w:val="20"/>
                <w:szCs w:val="20"/>
              </w:rPr>
              <w:t xml:space="preserve"> 202</w:t>
            </w:r>
            <w:r w:rsidR="00BF3A73" w:rsidRPr="00C3125C">
              <w:rPr>
                <w:sz w:val="20"/>
                <w:szCs w:val="20"/>
              </w:rPr>
              <w:t>3</w:t>
            </w:r>
          </w:p>
          <w:p w14:paraId="23B47D9A" w14:textId="570126BC" w:rsidR="003A57D9" w:rsidRPr="00C3125C" w:rsidRDefault="003A57D9"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3125C">
              <w:rPr>
                <w:sz w:val="20"/>
                <w:szCs w:val="20"/>
              </w:rPr>
              <w:t>Average Rate</w:t>
            </w:r>
          </w:p>
          <w:p w14:paraId="238C6DC6" w14:textId="5E434254" w:rsidR="003A57D9" w:rsidRPr="00C3125C" w:rsidRDefault="003A57D9" w:rsidP="00A01D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C3125C">
              <w:rPr>
                <w:sz w:val="20"/>
                <w:szCs w:val="20"/>
              </w:rPr>
              <w:t>%</w:t>
            </w:r>
          </w:p>
        </w:tc>
      </w:tr>
      <w:tr w:rsidR="003C74E6" w:rsidRPr="004A501B" w14:paraId="523FD8AB" w14:textId="77777777" w:rsidTr="00F311B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30A82DAA" w14:textId="01E393D8" w:rsidR="003A57D9" w:rsidRPr="00C3125C" w:rsidRDefault="003A57D9" w:rsidP="00F311BF">
            <w:pPr>
              <w:rPr>
                <w:sz w:val="20"/>
                <w:szCs w:val="20"/>
              </w:rPr>
            </w:pPr>
            <w:r w:rsidRPr="00C3125C">
              <w:rPr>
                <w:sz w:val="20"/>
                <w:szCs w:val="20"/>
              </w:rPr>
              <w:t>Short-term</w:t>
            </w:r>
          </w:p>
        </w:tc>
        <w:tc>
          <w:tcPr>
            <w:tcW w:w="2383" w:type="dxa"/>
            <w:vAlign w:val="center"/>
          </w:tcPr>
          <w:p w14:paraId="3EEC9E70" w14:textId="217408C7" w:rsidR="003A57D9" w:rsidRPr="00B7330F" w:rsidRDefault="00C3125C"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330F">
              <w:rPr>
                <w:sz w:val="20"/>
                <w:szCs w:val="20"/>
              </w:rPr>
              <w:t>6</w:t>
            </w:r>
            <w:r w:rsidR="00062E55" w:rsidRPr="00B7330F">
              <w:rPr>
                <w:sz w:val="20"/>
                <w:szCs w:val="20"/>
              </w:rPr>
              <w:t>.0</w:t>
            </w:r>
          </w:p>
        </w:tc>
        <w:tc>
          <w:tcPr>
            <w:tcW w:w="2862" w:type="dxa"/>
            <w:vAlign w:val="center"/>
          </w:tcPr>
          <w:p w14:paraId="1686F3B3" w14:textId="1F5002A5" w:rsidR="003A57D9" w:rsidRPr="00B7330F" w:rsidRDefault="00BF3A73"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330F">
              <w:rPr>
                <w:sz w:val="20"/>
                <w:szCs w:val="20"/>
              </w:rPr>
              <w:t>3.</w:t>
            </w:r>
            <w:r w:rsidR="00C3125C" w:rsidRPr="00B7330F">
              <w:rPr>
                <w:sz w:val="20"/>
                <w:szCs w:val="20"/>
              </w:rPr>
              <w:t>8</w:t>
            </w:r>
            <w:r w:rsidR="00B7330F" w:rsidRPr="00B7330F">
              <w:rPr>
                <w:sz w:val="20"/>
                <w:szCs w:val="20"/>
              </w:rPr>
              <w:t>3</w:t>
            </w:r>
          </w:p>
        </w:tc>
      </w:tr>
      <w:tr w:rsidR="003C74E6" w:rsidRPr="004A501B" w14:paraId="126D6951" w14:textId="77777777" w:rsidTr="00F311BF">
        <w:trPr>
          <w:trHeight w:val="397"/>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6352E936" w14:textId="7CEF2A19" w:rsidR="003A57D9" w:rsidRPr="00C3125C" w:rsidRDefault="003A57D9" w:rsidP="00F311BF">
            <w:pPr>
              <w:rPr>
                <w:sz w:val="20"/>
                <w:szCs w:val="20"/>
              </w:rPr>
            </w:pPr>
            <w:r w:rsidRPr="00C3125C">
              <w:rPr>
                <w:sz w:val="20"/>
                <w:szCs w:val="20"/>
              </w:rPr>
              <w:t xml:space="preserve">Long-term </w:t>
            </w:r>
          </w:p>
        </w:tc>
        <w:tc>
          <w:tcPr>
            <w:tcW w:w="2383" w:type="dxa"/>
            <w:vAlign w:val="center"/>
          </w:tcPr>
          <w:p w14:paraId="7EC9B4F3" w14:textId="6751E2DB" w:rsidR="003A57D9" w:rsidRPr="00B7330F" w:rsidRDefault="00062E55"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330F">
              <w:rPr>
                <w:sz w:val="20"/>
                <w:szCs w:val="20"/>
              </w:rPr>
              <w:t>-</w:t>
            </w:r>
          </w:p>
        </w:tc>
        <w:tc>
          <w:tcPr>
            <w:tcW w:w="2862" w:type="dxa"/>
            <w:vAlign w:val="center"/>
          </w:tcPr>
          <w:p w14:paraId="1B2FC38B" w14:textId="75A96FA9" w:rsidR="003A57D9" w:rsidRPr="00B7330F" w:rsidRDefault="00062E55"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330F">
              <w:rPr>
                <w:sz w:val="20"/>
                <w:szCs w:val="20"/>
              </w:rPr>
              <w:t>-</w:t>
            </w:r>
          </w:p>
        </w:tc>
      </w:tr>
      <w:tr w:rsidR="003C74E6" w:rsidRPr="004A501B" w14:paraId="565D15BC" w14:textId="77777777" w:rsidTr="00C3125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7667EC43" w14:textId="32D174B4" w:rsidR="003A57D9" w:rsidRPr="00C3125C" w:rsidRDefault="003A57D9" w:rsidP="00F311BF">
            <w:pPr>
              <w:rPr>
                <w:sz w:val="20"/>
                <w:szCs w:val="20"/>
              </w:rPr>
            </w:pPr>
            <w:r w:rsidRPr="00C3125C">
              <w:rPr>
                <w:sz w:val="20"/>
                <w:szCs w:val="20"/>
              </w:rPr>
              <w:t>Total Investments</w:t>
            </w:r>
          </w:p>
        </w:tc>
        <w:tc>
          <w:tcPr>
            <w:tcW w:w="2383" w:type="dxa"/>
            <w:vAlign w:val="center"/>
          </w:tcPr>
          <w:p w14:paraId="0BDFC5DF" w14:textId="31179C53" w:rsidR="003A57D9" w:rsidRPr="00B7330F" w:rsidRDefault="00C3125C"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330F">
              <w:rPr>
                <w:sz w:val="20"/>
                <w:szCs w:val="20"/>
              </w:rPr>
              <w:t>6</w:t>
            </w:r>
            <w:r w:rsidR="00062E55" w:rsidRPr="00B7330F">
              <w:rPr>
                <w:sz w:val="20"/>
                <w:szCs w:val="20"/>
              </w:rPr>
              <w:t>.0</w:t>
            </w:r>
          </w:p>
        </w:tc>
        <w:tc>
          <w:tcPr>
            <w:tcW w:w="2862" w:type="dxa"/>
            <w:vAlign w:val="center"/>
          </w:tcPr>
          <w:p w14:paraId="22B6B57C" w14:textId="3036CB9B" w:rsidR="003A57D9" w:rsidRPr="00B7330F" w:rsidRDefault="00BF3A73"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330F">
              <w:rPr>
                <w:sz w:val="20"/>
                <w:szCs w:val="20"/>
              </w:rPr>
              <w:t>3.</w:t>
            </w:r>
            <w:r w:rsidR="00C3125C" w:rsidRPr="00B7330F">
              <w:rPr>
                <w:sz w:val="20"/>
                <w:szCs w:val="20"/>
              </w:rPr>
              <w:t>8</w:t>
            </w:r>
            <w:r w:rsidR="00B7330F" w:rsidRPr="00B7330F">
              <w:rPr>
                <w:sz w:val="20"/>
                <w:szCs w:val="20"/>
              </w:rPr>
              <w:t>3</w:t>
            </w:r>
          </w:p>
        </w:tc>
      </w:tr>
    </w:tbl>
    <w:p w14:paraId="33ADAF98" w14:textId="120FCED6" w:rsidR="003A57D9" w:rsidRPr="004A501B" w:rsidRDefault="003A57D9" w:rsidP="002D5343"/>
    <w:p w14:paraId="5E724D36" w14:textId="5F88C0F0" w:rsidR="00E86F65" w:rsidRPr="004A501B" w:rsidRDefault="00062E55" w:rsidP="002D5343">
      <w:r>
        <w:t>Long-term investments mature after more than one year from the reference date.</w:t>
      </w:r>
    </w:p>
    <w:p w14:paraId="405B201C" w14:textId="77777777" w:rsidR="004A501B" w:rsidRDefault="004A501B" w:rsidP="002D5343">
      <w:r>
        <w:br w:type="page"/>
      </w:r>
    </w:p>
    <w:p w14:paraId="6208EC2E" w14:textId="50AAC4F9" w:rsidR="00770E1C" w:rsidRPr="004A501B" w:rsidRDefault="00770E1C" w:rsidP="0017003A">
      <w:pPr>
        <w:pStyle w:val="Heading1"/>
        <w:numPr>
          <w:ilvl w:val="0"/>
          <w:numId w:val="0"/>
        </w:numPr>
        <w:ind w:left="720" w:hanging="720"/>
      </w:pPr>
      <w:r w:rsidRPr="004A501B">
        <w:lastRenderedPageBreak/>
        <w:t xml:space="preserve">Appendix </w:t>
      </w:r>
      <w:r w:rsidR="00D50313">
        <w:t>B</w:t>
      </w:r>
      <w:r w:rsidRPr="004A501B">
        <w:t xml:space="preserve"> – Investment Definitions</w:t>
      </w:r>
    </w:p>
    <w:p w14:paraId="0B597934" w14:textId="77777777" w:rsidR="00770E1C" w:rsidRPr="004A501B" w:rsidRDefault="00770E1C" w:rsidP="002D5343">
      <w:r w:rsidRPr="004A501B">
        <w:rPr>
          <w:b/>
        </w:rPr>
        <w:t>Credit Rating:</w:t>
      </w:r>
      <w:r w:rsidRPr="004A501B">
        <w:t xml:space="preserve"> Investment limits are set by reference to the lowest published long-term credit rating from Fitch, </w:t>
      </w:r>
      <w:proofErr w:type="gramStart"/>
      <w:r w:rsidRPr="004A501B">
        <w:t>Moody’s</w:t>
      </w:r>
      <w:proofErr w:type="gramEnd"/>
      <w:r w:rsidRPr="004A501B">
        <w:t xml:space="preserve"> or Standard &amp; Poor’s. Where available, the credit rating relevant to the specific investment or class of investment is used, otherwise the counterparty credit rating is used. However, investment decisions are never made solely based on credit ratings, and all other relevant factors including external advice will be </w:t>
      </w:r>
      <w:proofErr w:type="gramStart"/>
      <w:r w:rsidRPr="004A501B">
        <w:t>taken into account</w:t>
      </w:r>
      <w:proofErr w:type="gramEnd"/>
      <w:r w:rsidRPr="004A501B">
        <w:t>.</w:t>
      </w:r>
    </w:p>
    <w:p w14:paraId="028B873A" w14:textId="1CDFC9DA" w:rsidR="00770E1C" w:rsidRPr="004A501B" w:rsidRDefault="00770E1C" w:rsidP="002D5343">
      <w:r w:rsidRPr="004A501B">
        <w:rPr>
          <w:b/>
        </w:rPr>
        <w:t xml:space="preserve">Banks </w:t>
      </w:r>
      <w:r w:rsidR="00391942" w:rsidRPr="004A501B">
        <w:rPr>
          <w:b/>
        </w:rPr>
        <w:t>and Building Societies (</w:t>
      </w:r>
      <w:r w:rsidRPr="004A501B">
        <w:rPr>
          <w:b/>
        </w:rPr>
        <w:t>Unsecured</w:t>
      </w:r>
      <w:r w:rsidR="00391942" w:rsidRPr="004A501B">
        <w:rPr>
          <w:b/>
        </w:rPr>
        <w:t>)</w:t>
      </w:r>
      <w:r w:rsidRPr="004A501B">
        <w:rPr>
          <w:b/>
        </w:rPr>
        <w:t>:</w:t>
      </w:r>
      <w:r w:rsidRPr="004A501B">
        <w:t xml:space="preserve"> Accounts, deposits, certificates of deposit and senior unsecured bonds with banks and building societies, other than multilateral development banks. These investments are subject to the risk of credit loss via a bail-in should the regulator determine that the bank is failing or likely to fail.</w:t>
      </w:r>
    </w:p>
    <w:p w14:paraId="3DCF6C8D" w14:textId="28CE76CD" w:rsidR="00770E1C" w:rsidRPr="004A501B" w:rsidRDefault="00391942" w:rsidP="002D5343">
      <w:r w:rsidRPr="004A501B">
        <w:rPr>
          <w:b/>
        </w:rPr>
        <w:t>S</w:t>
      </w:r>
      <w:r w:rsidR="00770E1C" w:rsidRPr="004A501B">
        <w:rPr>
          <w:b/>
        </w:rPr>
        <w:t>ecured</w:t>
      </w:r>
      <w:r w:rsidRPr="004A501B">
        <w:rPr>
          <w:b/>
        </w:rPr>
        <w:t xml:space="preserve"> Investments</w:t>
      </w:r>
      <w:r w:rsidR="00770E1C" w:rsidRPr="004A501B">
        <w:rPr>
          <w:b/>
        </w:rPr>
        <w:t>:</w:t>
      </w:r>
      <w:r w:rsidR="00770E1C" w:rsidRPr="004A501B">
        <w:t xml:space="preserve"> </w:t>
      </w:r>
      <w:r w:rsidRPr="004A501B">
        <w:t>Investments secured on the borrower’s assets, which limits the potential losses in the event of insolvency. The amount and quality of the security will be a key factor in the investment decision. Covered bonds and reverse repurchase agreements with banks and building societies are exempt from bail-in. Where there is no investment specific credit rating, but the collateral upon which the investment is secured has a credit rating, the higher of the collateral credit rating and the counterparty credit rating will be used. The combined secured and unsecured investments with any one counterparty will not exceed the cash limit for secured investments.</w:t>
      </w:r>
    </w:p>
    <w:p w14:paraId="598424B5" w14:textId="30252308" w:rsidR="00770E1C" w:rsidRPr="004A501B" w:rsidRDefault="00770E1C" w:rsidP="002D5343">
      <w:r w:rsidRPr="004A501B">
        <w:rPr>
          <w:b/>
        </w:rPr>
        <w:t>Government:</w:t>
      </w:r>
      <w:r w:rsidRPr="004A501B">
        <w:t xml:space="preserve"> </w:t>
      </w:r>
      <w:r w:rsidR="00391942" w:rsidRPr="004A501B">
        <w:t xml:space="preserve">Loans to, and bonds and bills issued or guaranteed by, national governments, regional and local </w:t>
      </w:r>
      <w:proofErr w:type="gramStart"/>
      <w:r w:rsidR="00391942" w:rsidRPr="004A501B">
        <w:t>authorities</w:t>
      </w:r>
      <w:proofErr w:type="gramEnd"/>
      <w:r w:rsidR="00391942" w:rsidRPr="004A501B">
        <w:t xml:space="preserve"> and multilateral development banks. These investments are not subject to bail-in, and there is generally a lower risk of insolvency, although they are not zero risk. Investments with the UK Government are deemed to be zero credit risk due to its ability to create additional currency and therefore may be made in unlimited amounts for up to 50 years.</w:t>
      </w:r>
    </w:p>
    <w:p w14:paraId="3D81092C" w14:textId="0493B4B5" w:rsidR="00770E1C" w:rsidRPr="004A501B" w:rsidRDefault="000057F5" w:rsidP="002D5343">
      <w:r w:rsidRPr="004A501B">
        <w:rPr>
          <w:b/>
        </w:rPr>
        <w:t>Other Investment</w:t>
      </w:r>
      <w:r w:rsidR="00770E1C" w:rsidRPr="004A501B">
        <w:rPr>
          <w:b/>
        </w:rPr>
        <w:t>s:</w:t>
      </w:r>
      <w:r w:rsidR="00770E1C" w:rsidRPr="004A501B">
        <w:t xml:space="preserve"> </w:t>
      </w:r>
      <w:r w:rsidRPr="004A501B">
        <w:t xml:space="preserve">This category covers treasury investments not listed above, for example unsecured corporate bonds and company loans. Non-bank companies cannot be bailed-in but can become insolvent placing the </w:t>
      </w:r>
      <w:r w:rsidR="00345AC9">
        <w:t>Commissioner’s</w:t>
      </w:r>
      <w:r w:rsidRPr="004A501B">
        <w:t xml:space="preserve"> investment at risk. </w:t>
      </w:r>
      <w:r w:rsidR="00770E1C" w:rsidRPr="004A501B">
        <w:t xml:space="preserve">Loans to unrated companies will only be made as part of a diversified pool </w:t>
      </w:r>
      <w:proofErr w:type="gramStart"/>
      <w:r w:rsidR="00770E1C" w:rsidRPr="004A501B">
        <w:t>in order to</w:t>
      </w:r>
      <w:proofErr w:type="gramEnd"/>
      <w:r w:rsidR="00770E1C" w:rsidRPr="004A501B">
        <w:t xml:space="preserve"> spread the risk widely.</w:t>
      </w:r>
    </w:p>
    <w:p w14:paraId="1A49B986" w14:textId="1819D4BD" w:rsidR="00770E1C" w:rsidRPr="004A501B" w:rsidRDefault="00770E1C" w:rsidP="002D5343">
      <w:pPr>
        <w:rPr>
          <w:b/>
        </w:rPr>
      </w:pPr>
      <w:r w:rsidRPr="004A501B">
        <w:rPr>
          <w:b/>
        </w:rPr>
        <w:t>Registered Providers</w:t>
      </w:r>
      <w:r w:rsidR="00391942" w:rsidRPr="004A501B">
        <w:rPr>
          <w:b/>
        </w:rPr>
        <w:t xml:space="preserve"> (Unsecured)</w:t>
      </w:r>
      <w:r w:rsidRPr="004A501B">
        <w:rPr>
          <w:b/>
        </w:rPr>
        <w:t xml:space="preserve">: </w:t>
      </w:r>
      <w:r w:rsidR="00391942" w:rsidRPr="004A501B">
        <w:t xml:space="preserve">Loans to, and bonds issued or guaranteed by, registered providers of social housing or registered social landlords, formerly known as housing associations.  These bodies are regulated by the Welsh Government. As providers of public services, they retain the likelihood of receiving government support if needed. </w:t>
      </w:r>
    </w:p>
    <w:p w14:paraId="195F09AC" w14:textId="77777777" w:rsidR="00770E1C" w:rsidRPr="004A501B" w:rsidRDefault="00770E1C" w:rsidP="002D5343">
      <w:r w:rsidRPr="004A501B">
        <w:rPr>
          <w:b/>
        </w:rPr>
        <w:t xml:space="preserve">Reverse Purchase Agreements (Repo): </w:t>
      </w:r>
      <w:r w:rsidRPr="004A501B">
        <w:t xml:space="preserve">A repurchase agreement is a financial transaction where one entity (typically a bank) sells investments (bonds) to another entity (the investor) on one date and at the same time agrees to repurchase them at a fixed price on a later date. A repo involves two linked but separate transactions – the sale of bonds by the bank in return for cash, and the later repurchase of the bonds in return for a larger sum of cash. </w:t>
      </w:r>
    </w:p>
    <w:p w14:paraId="61530703" w14:textId="31883BCD" w:rsidR="00640AF6" w:rsidRPr="004A501B" w:rsidRDefault="000057F5" w:rsidP="002D5343">
      <w:r w:rsidRPr="004A501B">
        <w:rPr>
          <w:b/>
        </w:rPr>
        <w:t>Money Market</w:t>
      </w:r>
      <w:r w:rsidR="00770E1C" w:rsidRPr="004A501B">
        <w:rPr>
          <w:b/>
        </w:rPr>
        <w:t xml:space="preserve"> Funds:</w:t>
      </w:r>
      <w:r w:rsidR="00770E1C" w:rsidRPr="004A501B">
        <w:t xml:space="preserve"> </w:t>
      </w:r>
      <w:r w:rsidRPr="004A501B">
        <w:t xml:space="preserve">Pooled funds that offer same-day or short notice liquidity and very low or no price volatility by investing in short-term money markets. They have the advantage over bank accounts of providing wide diversification of investment risks, coupled with the services of a professional fund manager in return for a small fee. Although no sector limit applies to money market funds, the </w:t>
      </w:r>
      <w:r w:rsidR="00345AC9">
        <w:t>Commissioner</w:t>
      </w:r>
      <w:r w:rsidRPr="004A501B">
        <w:t xml:space="preserve"> will take care to diversify its liquid investments over a variety of providers to ensure access to </w:t>
      </w:r>
      <w:proofErr w:type="gramStart"/>
      <w:r w:rsidRPr="004A501B">
        <w:t>cash at all times</w:t>
      </w:r>
      <w:proofErr w:type="gramEnd"/>
      <w:r w:rsidRPr="004A501B">
        <w:t xml:space="preserve">. </w:t>
      </w:r>
    </w:p>
    <w:p w14:paraId="23AED9CF" w14:textId="6D5AB487" w:rsidR="000057F5" w:rsidRPr="004A501B" w:rsidRDefault="000057F5" w:rsidP="002D5343">
      <w:r w:rsidRPr="004A501B">
        <w:rPr>
          <w:b/>
        </w:rPr>
        <w:lastRenderedPageBreak/>
        <w:t xml:space="preserve">Strategic pooled funds: </w:t>
      </w:r>
      <w:r w:rsidRPr="004A501B">
        <w:t xml:space="preserve">Bond, equity and property funds that offer enhanced returns over the longer term but are more volatile in the short term.  These allow the </w:t>
      </w:r>
      <w:proofErr w:type="spellStart"/>
      <w:r w:rsidR="00345AC9">
        <w:t>Commissioner</w:t>
      </w:r>
      <w:r w:rsidRPr="004A501B">
        <w:t>to</w:t>
      </w:r>
      <w:proofErr w:type="spellEnd"/>
      <w:r w:rsidRPr="004A501B">
        <w:t xml:space="preserve"> diversify into asset classes other than cash without the need to own and manage the underlying investments. Because these funds have no defined maturity date, but are available for withdrawal after a notice period, their performance and continued suitability in meeting the </w:t>
      </w:r>
      <w:r w:rsidR="00345AC9">
        <w:t>Commissioner’s</w:t>
      </w:r>
      <w:r w:rsidRPr="004A501B">
        <w:t xml:space="preserve"> investment objectives will be monitored regularly.</w:t>
      </w:r>
    </w:p>
    <w:p w14:paraId="1B983583" w14:textId="77777777" w:rsidR="00607EFC" w:rsidRPr="004A501B" w:rsidRDefault="00607EFC" w:rsidP="002D5343"/>
    <w:p w14:paraId="574A07EF" w14:textId="77777777" w:rsidR="00A151F8" w:rsidRPr="004A501B" w:rsidRDefault="00A151F8" w:rsidP="002D5343">
      <w:r w:rsidRPr="004A501B">
        <w:br w:type="page"/>
      </w:r>
    </w:p>
    <w:p w14:paraId="6439E86C" w14:textId="14A5AC27" w:rsidR="00770E1C" w:rsidRPr="004A501B" w:rsidRDefault="00770E1C" w:rsidP="0017003A">
      <w:pPr>
        <w:pStyle w:val="Heading1"/>
        <w:numPr>
          <w:ilvl w:val="0"/>
          <w:numId w:val="0"/>
        </w:numPr>
      </w:pPr>
      <w:r w:rsidRPr="004A501B">
        <w:lastRenderedPageBreak/>
        <w:t xml:space="preserve">Appendix </w:t>
      </w:r>
      <w:r w:rsidR="00D50313">
        <w:t>C</w:t>
      </w:r>
      <w:r w:rsidRPr="004A501B">
        <w:t xml:space="preserve"> – Treasury Management Practices (TMP)</w:t>
      </w:r>
    </w:p>
    <w:p w14:paraId="4F2F6660" w14:textId="77777777" w:rsidR="00770E1C" w:rsidRPr="00FE36A8" w:rsidRDefault="00770E1C" w:rsidP="002D5343">
      <w:pPr>
        <w:rPr>
          <w:b/>
          <w:bCs/>
        </w:rPr>
      </w:pPr>
      <w:r w:rsidRPr="00FE36A8">
        <w:rPr>
          <w:b/>
          <w:bCs/>
        </w:rPr>
        <w:t>TMP1</w:t>
      </w:r>
      <w:r w:rsidRPr="00FE36A8">
        <w:rPr>
          <w:b/>
          <w:bCs/>
        </w:rPr>
        <w:tab/>
        <w:t>Risk Management</w:t>
      </w:r>
    </w:p>
    <w:p w14:paraId="68773F3F" w14:textId="1128CC06" w:rsidR="00770E1C" w:rsidRPr="004A501B" w:rsidRDefault="00770E1C" w:rsidP="002D5343">
      <w:pPr>
        <w:rPr>
          <w:b/>
        </w:rPr>
      </w:pPr>
      <w:r w:rsidRPr="004A501B">
        <w:t xml:space="preserve">The CFO of the </w:t>
      </w:r>
      <w:r w:rsidR="00657EFA" w:rsidRPr="004A501B">
        <w:t>Commissioner</w:t>
      </w:r>
      <w:r w:rsidRPr="004A501B">
        <w:t xml:space="preserve"> will design, </w:t>
      </w:r>
      <w:proofErr w:type="gramStart"/>
      <w:r w:rsidRPr="004A501B">
        <w:t>implement</w:t>
      </w:r>
      <w:proofErr w:type="gramEnd"/>
      <w:r w:rsidRPr="004A501B">
        <w:t xml:space="preserve"> and monitor all arrangements for the identification, management and control of treasury management risk, will report at least annually on the adequacy/suitability thereof, and will report, as a matter of urgency, the circumstances of any actual or likely difficulty in achieving the </w:t>
      </w:r>
      <w:r w:rsidR="00657EFA" w:rsidRPr="004A501B">
        <w:t>Commissioner</w:t>
      </w:r>
      <w:r w:rsidRPr="004A501B">
        <w:t xml:space="preserve">’s objectives in this respect, all in accordance with the procedures set out in TMP6 </w:t>
      </w:r>
      <w:r w:rsidRPr="004A501B">
        <w:rPr>
          <w:i/>
        </w:rPr>
        <w:t>Reporting requirements and management information arrangements.</w:t>
      </w:r>
      <w:r w:rsidRPr="004A501B">
        <w:t xml:space="preserve"> </w:t>
      </w:r>
    </w:p>
    <w:p w14:paraId="41C253F0" w14:textId="77777777" w:rsidR="00770E1C" w:rsidRPr="004A501B" w:rsidRDefault="00770E1C" w:rsidP="002D5343">
      <w:r w:rsidRPr="004A501B">
        <w:t xml:space="preserve">In respect of each of the following risks, the arrangements which seek to ensure compliance with these objectives are set out </w:t>
      </w:r>
      <w:proofErr w:type="gramStart"/>
      <w:r w:rsidRPr="004A501B">
        <w:t>below:-</w:t>
      </w:r>
      <w:proofErr w:type="gramEnd"/>
      <w:r w:rsidRPr="004A501B">
        <w:t xml:space="preserve">           </w:t>
      </w:r>
    </w:p>
    <w:p w14:paraId="06430A5B" w14:textId="77777777" w:rsidR="0080793E" w:rsidRDefault="0080793E" w:rsidP="002D5343">
      <w:pPr>
        <w:rPr>
          <w:b/>
          <w:bCs/>
        </w:rPr>
      </w:pPr>
    </w:p>
    <w:p w14:paraId="571B0849" w14:textId="5B9F3863" w:rsidR="00770E1C" w:rsidRPr="00FE36A8" w:rsidRDefault="00770E1C" w:rsidP="002D5343">
      <w:pPr>
        <w:rPr>
          <w:b/>
          <w:bCs/>
        </w:rPr>
      </w:pPr>
      <w:r w:rsidRPr="00FE36A8">
        <w:rPr>
          <w:b/>
          <w:bCs/>
        </w:rPr>
        <w:t xml:space="preserve">Credit and Counterparty Risk </w:t>
      </w:r>
      <w:r w:rsidRPr="00FE36A8">
        <w:rPr>
          <w:b/>
          <w:bCs/>
        </w:rPr>
        <w:tab/>
      </w:r>
    </w:p>
    <w:p w14:paraId="4319BA27" w14:textId="77777777" w:rsidR="00770E1C" w:rsidRPr="00FE36A8" w:rsidRDefault="00770E1C" w:rsidP="002D5343">
      <w:pPr>
        <w:rPr>
          <w:b/>
          <w:bCs/>
        </w:rPr>
      </w:pPr>
      <w:r w:rsidRPr="00FE36A8">
        <w:rPr>
          <w:b/>
          <w:bCs/>
        </w:rPr>
        <w:t>Definition</w:t>
      </w:r>
    </w:p>
    <w:p w14:paraId="4D0737A5" w14:textId="77777777" w:rsidR="00770E1C" w:rsidRPr="004A501B" w:rsidRDefault="00770E1C" w:rsidP="002D5343">
      <w:r w:rsidRPr="004A501B">
        <w:t xml:space="preserve">The risk of failure by a counterparty to meet its contractual obligations to the organisation under an investment, borrowing, capital, </w:t>
      </w:r>
      <w:proofErr w:type="gramStart"/>
      <w:r w:rsidRPr="004A501B">
        <w:t>project</w:t>
      </w:r>
      <w:proofErr w:type="gramEnd"/>
      <w:r w:rsidRPr="004A501B">
        <w:t xml:space="preserve"> or partnership financing, particularly as a result of the counterparty’s diminished creditworthiness, and the resulting detrimental effect on the organisation’s capital or current (revenue) resources.</w:t>
      </w:r>
    </w:p>
    <w:p w14:paraId="28EE87BD" w14:textId="77777777" w:rsidR="00770E1C" w:rsidRPr="00FE36A8" w:rsidRDefault="00770E1C" w:rsidP="002D5343">
      <w:pPr>
        <w:rPr>
          <w:b/>
          <w:bCs/>
        </w:rPr>
      </w:pPr>
      <w:r w:rsidRPr="00FE36A8">
        <w:rPr>
          <w:b/>
          <w:bCs/>
        </w:rPr>
        <w:t>Action</w:t>
      </w:r>
    </w:p>
    <w:p w14:paraId="61DA2C7C" w14:textId="77777777" w:rsidR="00770E1C" w:rsidRPr="004A501B" w:rsidRDefault="00770E1C" w:rsidP="002D5343">
      <w:r w:rsidRPr="004A501B">
        <w:t>“Dyfed-Powys regards a key objective of its treasury management activities to be the security of the principal sums it invests.</w:t>
      </w:r>
      <w:r w:rsidRPr="004A501B">
        <w:rPr>
          <w:i/>
        </w:rPr>
        <w:t xml:space="preserve"> </w:t>
      </w:r>
      <w:r w:rsidRPr="004A501B">
        <w:t xml:space="preserve"> Accordingly, it will ensure that its </w:t>
      </w:r>
      <w:proofErr w:type="gramStart"/>
      <w:r w:rsidRPr="004A501B">
        <w:t>counter-party</w:t>
      </w:r>
      <w:proofErr w:type="gramEnd"/>
      <w:r w:rsidRPr="004A501B">
        <w:t xml:space="preserve"> lists and limits reflect a prudent attitude towards organisations with which funds may be deposited, and will limit its investment activities to the instruments, methods and techniques referred to in TMP4 </w:t>
      </w:r>
      <w:r w:rsidRPr="004A501B">
        <w:rPr>
          <w:i/>
        </w:rPr>
        <w:t>Approved instruments, methods and techniques</w:t>
      </w:r>
      <w:r w:rsidRPr="004A501B">
        <w:t xml:space="preserve">.  It also recognises the need to have, and will therefore maintain, a formal counter-party policy in respect of those institutions from which it may borrow, or with whom it may </w:t>
      </w:r>
      <w:proofErr w:type="gramStart"/>
      <w:r w:rsidRPr="004A501B">
        <w:t>enter into</w:t>
      </w:r>
      <w:proofErr w:type="gramEnd"/>
      <w:r w:rsidRPr="004A501B">
        <w:t xml:space="preserve"> other financing arrangements.” </w:t>
      </w:r>
    </w:p>
    <w:p w14:paraId="09E96E30" w14:textId="77777777" w:rsidR="00770E1C" w:rsidRPr="004A501B" w:rsidRDefault="00770E1C" w:rsidP="002D5343">
      <w:r w:rsidRPr="004A501B">
        <w:t xml:space="preserve">Counterparties are detailed within the Treasury Management Strategy and Policy. </w:t>
      </w:r>
    </w:p>
    <w:p w14:paraId="53313B54" w14:textId="77777777" w:rsidR="00607EFC" w:rsidRPr="004A501B" w:rsidRDefault="00607EFC" w:rsidP="002D5343"/>
    <w:p w14:paraId="147A434C" w14:textId="19830A5C" w:rsidR="00770E1C" w:rsidRPr="00FE36A8" w:rsidRDefault="00770E1C" w:rsidP="002D5343">
      <w:pPr>
        <w:rPr>
          <w:b/>
          <w:bCs/>
        </w:rPr>
      </w:pPr>
      <w:r w:rsidRPr="00FE36A8">
        <w:rPr>
          <w:b/>
          <w:bCs/>
        </w:rPr>
        <w:t>Liquidity Risk</w:t>
      </w:r>
    </w:p>
    <w:p w14:paraId="317472F5" w14:textId="77777777" w:rsidR="00770E1C" w:rsidRPr="00FE36A8" w:rsidRDefault="00770E1C" w:rsidP="002D5343">
      <w:pPr>
        <w:rPr>
          <w:b/>
          <w:bCs/>
        </w:rPr>
      </w:pPr>
      <w:r w:rsidRPr="00FE36A8">
        <w:rPr>
          <w:b/>
          <w:bCs/>
        </w:rPr>
        <w:t>Definition</w:t>
      </w:r>
    </w:p>
    <w:p w14:paraId="5B6AEB42" w14:textId="77777777" w:rsidR="00770E1C" w:rsidRPr="004A501B" w:rsidRDefault="00770E1C" w:rsidP="002D5343">
      <w:pPr>
        <w:rPr>
          <w:b/>
          <w:u w:val="single"/>
        </w:rPr>
      </w:pPr>
      <w:r w:rsidRPr="004A501B">
        <w:t>The risk that cash will not be available when it is needed, that ineffective management of liquidity creates additional unbudgeted costs and that the organisation’s business / service objectives will be thereby compromised.</w:t>
      </w:r>
    </w:p>
    <w:p w14:paraId="2FD01D0B" w14:textId="77777777" w:rsidR="00770E1C" w:rsidRPr="004A501B" w:rsidRDefault="00770E1C" w:rsidP="002D5343">
      <w:r w:rsidRPr="004A501B">
        <w:t>Action</w:t>
      </w:r>
    </w:p>
    <w:p w14:paraId="5DF6EF35" w14:textId="70A7D7C3" w:rsidR="00770E1C" w:rsidRPr="004A501B" w:rsidRDefault="00770E1C" w:rsidP="002D5343">
      <w:r w:rsidRPr="004A501B">
        <w:t>It</w:t>
      </w:r>
      <w:r w:rsidR="009C3DB3" w:rsidRPr="004A501B">
        <w:t xml:space="preserve"> will be the function of the </w:t>
      </w:r>
      <w:r w:rsidR="006B0C6E" w:rsidRPr="004A501B">
        <w:t>Director of Finance (DOF) Chief Constable</w:t>
      </w:r>
      <w:r w:rsidRPr="004A501B">
        <w:t xml:space="preserve"> through the treasury management staff employed by the Chief Constable to ensure that it has adequate though not excessive cash resources, borrowing arrangements, </w:t>
      </w:r>
      <w:proofErr w:type="gramStart"/>
      <w:r w:rsidRPr="004A501B">
        <w:t>overdraft</w:t>
      </w:r>
      <w:proofErr w:type="gramEnd"/>
      <w:r w:rsidRPr="004A501B">
        <w:t xml:space="preserve"> or standby facilities to enable it at all times to have the level of funds available to it which are necessary for the achievement of its business / service objectives. </w:t>
      </w:r>
    </w:p>
    <w:p w14:paraId="6543B7A4" w14:textId="77777777" w:rsidR="00770E1C" w:rsidRPr="004A501B" w:rsidRDefault="00770E1C" w:rsidP="002D5343">
      <w:r w:rsidRPr="004A501B">
        <w:lastRenderedPageBreak/>
        <w:t xml:space="preserve">They will </w:t>
      </w:r>
      <w:proofErr w:type="gramStart"/>
      <w:r w:rsidRPr="004A501B">
        <w:t>ensure that at all times</w:t>
      </w:r>
      <w:proofErr w:type="gramEnd"/>
      <w:r w:rsidRPr="004A501B">
        <w:t xml:space="preserve"> there will be a surplus of cash available which can be called upon (£2m) through its investments in cash on call accounts, which would be available at any time.</w:t>
      </w:r>
    </w:p>
    <w:p w14:paraId="71E9044A" w14:textId="77777777" w:rsidR="00770E1C" w:rsidRPr="004A501B" w:rsidRDefault="00770E1C" w:rsidP="002D5343">
      <w:r w:rsidRPr="004A501B">
        <w:t xml:space="preserve">Robust weekly, </w:t>
      </w:r>
      <w:proofErr w:type="gramStart"/>
      <w:r w:rsidRPr="004A501B">
        <w:t>monthly</w:t>
      </w:r>
      <w:proofErr w:type="gramEnd"/>
      <w:r w:rsidRPr="004A501B">
        <w:t xml:space="preserve"> and annual cash flow forecasting processes are in place in line with Financial Regulations and Financial Control Procedures.</w:t>
      </w:r>
    </w:p>
    <w:p w14:paraId="13567270" w14:textId="77777777" w:rsidR="00770E1C" w:rsidRPr="004A501B" w:rsidRDefault="00770E1C" w:rsidP="002D5343">
      <w:r w:rsidRPr="004A501B">
        <w:t xml:space="preserve"> </w:t>
      </w:r>
    </w:p>
    <w:p w14:paraId="7670E75C" w14:textId="77777777" w:rsidR="00770E1C" w:rsidRPr="00FE36A8" w:rsidRDefault="00770E1C" w:rsidP="002D5343">
      <w:pPr>
        <w:rPr>
          <w:b/>
          <w:bCs/>
          <w:u w:val="single"/>
        </w:rPr>
      </w:pPr>
      <w:r w:rsidRPr="00FE36A8">
        <w:rPr>
          <w:b/>
          <w:bCs/>
        </w:rPr>
        <w:t>Interest Rate Risk</w:t>
      </w:r>
    </w:p>
    <w:p w14:paraId="6468A8DC" w14:textId="77777777" w:rsidR="00770E1C" w:rsidRPr="00FE36A8" w:rsidRDefault="00770E1C" w:rsidP="002D5343">
      <w:pPr>
        <w:rPr>
          <w:b/>
          <w:bCs/>
        </w:rPr>
      </w:pPr>
      <w:r w:rsidRPr="00FE36A8">
        <w:rPr>
          <w:b/>
          <w:bCs/>
        </w:rPr>
        <w:t>Definition</w:t>
      </w:r>
    </w:p>
    <w:p w14:paraId="1E22E441" w14:textId="77777777" w:rsidR="00770E1C" w:rsidRPr="004A501B" w:rsidRDefault="00770E1C" w:rsidP="002D5343">
      <w:r w:rsidRPr="004A501B">
        <w:t>The risk that fluctuations in the levels of interest rates create an unexpected or unbudgeted burden on the organisation’s finances, against which the organisation has failed to protect itself adequately.</w:t>
      </w:r>
    </w:p>
    <w:p w14:paraId="3B9B4D68" w14:textId="77777777" w:rsidR="00770E1C" w:rsidRPr="00FE36A8" w:rsidRDefault="00770E1C" w:rsidP="002D5343">
      <w:pPr>
        <w:rPr>
          <w:b/>
          <w:bCs/>
        </w:rPr>
      </w:pPr>
      <w:r w:rsidRPr="00FE36A8">
        <w:rPr>
          <w:b/>
          <w:bCs/>
        </w:rPr>
        <w:t>Action</w:t>
      </w:r>
    </w:p>
    <w:p w14:paraId="4FF566AC" w14:textId="4A354F11" w:rsidR="00770E1C" w:rsidRPr="004A501B" w:rsidRDefault="009C3DB3" w:rsidP="002D5343">
      <w:pPr>
        <w:rPr>
          <w:i/>
        </w:rPr>
      </w:pPr>
      <w:r w:rsidRPr="004A501B">
        <w:t>The CFO will manage the</w:t>
      </w:r>
      <w:r w:rsidR="00770E1C" w:rsidRPr="004A501B">
        <w:t xml:space="preserve"> exposure to fluctuations in interest rat</w:t>
      </w:r>
      <w:r w:rsidRPr="004A501B">
        <w:t xml:space="preserve">es with a view to </w:t>
      </w:r>
      <w:proofErr w:type="gramStart"/>
      <w:r w:rsidRPr="004A501B">
        <w:t xml:space="preserve">containing </w:t>
      </w:r>
      <w:r w:rsidR="00770E1C" w:rsidRPr="004A501B">
        <w:t xml:space="preserve"> </w:t>
      </w:r>
      <w:r w:rsidRPr="004A501B">
        <w:t>interest</w:t>
      </w:r>
      <w:proofErr w:type="gramEnd"/>
      <w:r w:rsidRPr="004A501B">
        <w:t xml:space="preserve"> costs, or securing </w:t>
      </w:r>
      <w:r w:rsidR="00770E1C" w:rsidRPr="004A501B">
        <w:t xml:space="preserve">interest revenues, in accordance with the amounts provided in its budgetary arrangements as amended in accordance with TMP6 </w:t>
      </w:r>
      <w:r w:rsidR="00770E1C" w:rsidRPr="004A501B">
        <w:rPr>
          <w:i/>
        </w:rPr>
        <w:t>Reporting requirements and management information arrangements.</w:t>
      </w:r>
    </w:p>
    <w:p w14:paraId="1470B0CD" w14:textId="77777777" w:rsidR="00770E1C" w:rsidRPr="004A501B" w:rsidRDefault="00770E1C" w:rsidP="002D5343">
      <w:r w:rsidRPr="004A501B">
        <w:t xml:space="preserve">It will achieve this by the prudent use of its approved financing and investment instruments, </w:t>
      </w:r>
      <w:proofErr w:type="gramStart"/>
      <w:r w:rsidRPr="004A501B">
        <w:t>methods</w:t>
      </w:r>
      <w:proofErr w:type="gramEnd"/>
      <w:r w:rsidRPr="004A501B">
        <w:t xml:space="preserve"> and techniques, primarily to create stability and certainty of costs and revenues, but at the same time retaining a sufficient degree of flexibility to take advantage of unexpected, potentially advantageous changes in the level or structure of interest rates. This should be subject to the consideration and, if required, approval of any policy or budgetary implications.</w:t>
      </w:r>
    </w:p>
    <w:p w14:paraId="423B538E" w14:textId="1C063491" w:rsidR="00770E1C" w:rsidRPr="004A501B" w:rsidRDefault="00770E1C" w:rsidP="002D5343">
      <w:r w:rsidRPr="004A501B">
        <w:t xml:space="preserve">The </w:t>
      </w:r>
      <w:r w:rsidR="00657EFA" w:rsidRPr="004A501B">
        <w:t>Commissioner</w:t>
      </w:r>
      <w:r w:rsidRPr="004A501B">
        <w:t xml:space="preserve"> will only undertake borrowing from approved sources such as the PWLB, organisations such as the European Investment Bank and from commercial banks who are on the </w:t>
      </w:r>
      <w:r w:rsidR="00657EFA" w:rsidRPr="004A501B">
        <w:t>Commissioner</w:t>
      </w:r>
      <w:r w:rsidRPr="004A501B">
        <w:t xml:space="preserve">’s list of authorised institutions, thereby minimising legal and regulatory risk. All investment of over 13 months will need </w:t>
      </w:r>
      <w:r w:rsidRPr="004A501B">
        <w:rPr>
          <w:u w:val="single"/>
        </w:rPr>
        <w:t>prior</w:t>
      </w:r>
      <w:r w:rsidRPr="004A501B">
        <w:t xml:space="preserve"> approval by the </w:t>
      </w:r>
      <w:r w:rsidR="006B0C6E" w:rsidRPr="004A501B">
        <w:t>CFO</w:t>
      </w:r>
      <w:r w:rsidRPr="004A501B">
        <w:t>.</w:t>
      </w:r>
    </w:p>
    <w:p w14:paraId="7901596E" w14:textId="77777777" w:rsidR="00770E1C" w:rsidRPr="004A501B" w:rsidRDefault="00770E1C" w:rsidP="002D5343"/>
    <w:p w14:paraId="43D0D1EA" w14:textId="77777777" w:rsidR="00770E1C" w:rsidRPr="00FE36A8" w:rsidRDefault="00770E1C" w:rsidP="002D5343">
      <w:pPr>
        <w:rPr>
          <w:b/>
          <w:bCs/>
        </w:rPr>
      </w:pPr>
      <w:r w:rsidRPr="00FE36A8">
        <w:rPr>
          <w:b/>
          <w:bCs/>
        </w:rPr>
        <w:t>Exchange Rate Risk</w:t>
      </w:r>
    </w:p>
    <w:p w14:paraId="3D11C8B6" w14:textId="77777777" w:rsidR="00770E1C" w:rsidRPr="00FE36A8" w:rsidRDefault="00770E1C" w:rsidP="002D5343">
      <w:pPr>
        <w:rPr>
          <w:b/>
          <w:bCs/>
        </w:rPr>
      </w:pPr>
      <w:r w:rsidRPr="00FE36A8">
        <w:rPr>
          <w:b/>
          <w:bCs/>
        </w:rPr>
        <w:t>Definition</w:t>
      </w:r>
    </w:p>
    <w:p w14:paraId="6E4DCBA0" w14:textId="77777777" w:rsidR="00770E1C" w:rsidRPr="004A501B" w:rsidRDefault="00770E1C" w:rsidP="002D5343">
      <w:r w:rsidRPr="004A501B">
        <w:t>The risk that fluctuations in foreign exchange rates create an unexpected or unbudgeted burden on the organisation’s finances, against which the organisation has failed to protect itself adequately.</w:t>
      </w:r>
    </w:p>
    <w:p w14:paraId="3989AD57" w14:textId="77777777" w:rsidR="00770E1C" w:rsidRPr="00FE36A8" w:rsidRDefault="00770E1C" w:rsidP="002D5343">
      <w:pPr>
        <w:rPr>
          <w:b/>
          <w:bCs/>
        </w:rPr>
      </w:pPr>
      <w:r w:rsidRPr="00FE36A8">
        <w:rPr>
          <w:b/>
          <w:bCs/>
        </w:rPr>
        <w:t>Action</w:t>
      </w:r>
    </w:p>
    <w:p w14:paraId="71CBB1F4" w14:textId="77777777" w:rsidR="00770E1C" w:rsidRPr="004A501B" w:rsidRDefault="00770E1C" w:rsidP="002D5343">
      <w:r w:rsidRPr="004A501B">
        <w:t xml:space="preserve">Currently Dyfed Powys only </w:t>
      </w:r>
      <w:proofErr w:type="gramStart"/>
      <w:r w:rsidRPr="004A501B">
        <w:t>invest</w:t>
      </w:r>
      <w:proofErr w:type="gramEnd"/>
      <w:r w:rsidRPr="004A501B">
        <w:t xml:space="preserve"> in sterling products, hence there is no exchange rate risk.</w:t>
      </w:r>
    </w:p>
    <w:p w14:paraId="2E76C531" w14:textId="77777777" w:rsidR="00770E1C" w:rsidRPr="004A501B" w:rsidRDefault="00770E1C" w:rsidP="002D5343"/>
    <w:p w14:paraId="1D77C3D7" w14:textId="77777777" w:rsidR="00770E1C" w:rsidRPr="00FE36A8" w:rsidRDefault="00770E1C" w:rsidP="002D5343">
      <w:pPr>
        <w:rPr>
          <w:b/>
          <w:bCs/>
        </w:rPr>
      </w:pPr>
      <w:r w:rsidRPr="00FE36A8">
        <w:rPr>
          <w:b/>
          <w:bCs/>
        </w:rPr>
        <w:t>Refinancing Risk</w:t>
      </w:r>
    </w:p>
    <w:p w14:paraId="16A0DD2F" w14:textId="77777777" w:rsidR="00770E1C" w:rsidRPr="00FE36A8" w:rsidRDefault="00770E1C" w:rsidP="002D5343">
      <w:pPr>
        <w:rPr>
          <w:b/>
          <w:bCs/>
        </w:rPr>
      </w:pPr>
      <w:r w:rsidRPr="00FE36A8">
        <w:rPr>
          <w:b/>
          <w:bCs/>
        </w:rPr>
        <w:t>Definition</w:t>
      </w:r>
    </w:p>
    <w:p w14:paraId="345211E4" w14:textId="77777777" w:rsidR="00770E1C" w:rsidRPr="004A501B" w:rsidRDefault="00770E1C" w:rsidP="002D5343">
      <w:r w:rsidRPr="004A501B">
        <w:t xml:space="preserve">The risk that maturing borrowings, capital, </w:t>
      </w:r>
      <w:proofErr w:type="gramStart"/>
      <w:r w:rsidRPr="004A501B">
        <w:t>project  or</w:t>
      </w:r>
      <w:proofErr w:type="gramEnd"/>
      <w:r w:rsidRPr="004A501B">
        <w:t xml:space="preserve"> partnership financings cannot be refinanced on terms that reflect the provisions made by the organisation for those refinancing, </w:t>
      </w:r>
      <w:r w:rsidRPr="004A501B">
        <w:lastRenderedPageBreak/>
        <w:t>both capital and current (revenue) and / or that the terms are inconsistent with prevailing market conditions at the time.</w:t>
      </w:r>
    </w:p>
    <w:p w14:paraId="4B852C0C" w14:textId="77777777" w:rsidR="00770E1C" w:rsidRPr="00FE36A8" w:rsidRDefault="00770E1C" w:rsidP="002D5343">
      <w:pPr>
        <w:rPr>
          <w:b/>
          <w:bCs/>
        </w:rPr>
      </w:pPr>
      <w:r w:rsidRPr="00FE36A8">
        <w:rPr>
          <w:b/>
          <w:bCs/>
        </w:rPr>
        <w:t>Action</w:t>
      </w:r>
    </w:p>
    <w:p w14:paraId="4EF7A87E" w14:textId="6647685E" w:rsidR="00770E1C" w:rsidRPr="004A501B" w:rsidRDefault="002B640C" w:rsidP="002D5343">
      <w:r w:rsidRPr="004A501B">
        <w:t xml:space="preserve">The CFO will ensure that </w:t>
      </w:r>
      <w:r w:rsidR="00770E1C" w:rsidRPr="004A501B">
        <w:t xml:space="preserve">borrowing, private </w:t>
      </w:r>
      <w:proofErr w:type="gramStart"/>
      <w:r w:rsidR="00770E1C" w:rsidRPr="004A501B">
        <w:t>financing</w:t>
      </w:r>
      <w:proofErr w:type="gramEnd"/>
      <w:r w:rsidR="00770E1C" w:rsidRPr="004A501B">
        <w:t xml:space="preserve"> and partnership arrangements are negotiated, structured and documented, and the maturity profile of the monies so raised are managed, with a view to obtaining offer terms for renewal or refinancing if required, which are competitive and as favourable to the </w:t>
      </w:r>
      <w:r w:rsidR="00657EFA" w:rsidRPr="004A501B">
        <w:t>Commissioner</w:t>
      </w:r>
      <w:r w:rsidR="00770E1C" w:rsidRPr="004A501B">
        <w:t xml:space="preserve"> as can reasonably be achieved in the light of market conditions prevailing at the time.</w:t>
      </w:r>
    </w:p>
    <w:p w14:paraId="0E07C557" w14:textId="77777777" w:rsidR="00770E1C" w:rsidRPr="004A501B" w:rsidRDefault="00770E1C" w:rsidP="002D5343">
      <w:r w:rsidRPr="004A501B">
        <w:t xml:space="preserve">It will actively manage its relationships with its </w:t>
      </w:r>
      <w:proofErr w:type="gramStart"/>
      <w:r w:rsidRPr="004A501B">
        <w:t>counter-parties</w:t>
      </w:r>
      <w:proofErr w:type="gramEnd"/>
      <w:r w:rsidRPr="004A501B">
        <w:t xml:space="preserve"> in these   transactions in such a manner as to secure this objective, and will avoid over reliance on any one source of funding if this might jeopardise achievement of the above.”</w:t>
      </w:r>
    </w:p>
    <w:p w14:paraId="5B2A4CBB" w14:textId="77777777" w:rsidR="00770E1C" w:rsidRPr="004A501B" w:rsidRDefault="00770E1C" w:rsidP="002D5343"/>
    <w:p w14:paraId="00CE8FA2" w14:textId="77777777" w:rsidR="00770E1C" w:rsidRPr="00FE36A8" w:rsidRDefault="00770E1C" w:rsidP="002D5343">
      <w:pPr>
        <w:rPr>
          <w:b/>
          <w:bCs/>
        </w:rPr>
      </w:pPr>
      <w:r w:rsidRPr="00FE36A8">
        <w:rPr>
          <w:b/>
          <w:bCs/>
        </w:rPr>
        <w:t>Legal and Regulatory Risk</w:t>
      </w:r>
    </w:p>
    <w:p w14:paraId="0F68EA55" w14:textId="77777777" w:rsidR="00770E1C" w:rsidRPr="00FE36A8" w:rsidRDefault="00770E1C" w:rsidP="002D5343">
      <w:pPr>
        <w:rPr>
          <w:b/>
          <w:bCs/>
        </w:rPr>
      </w:pPr>
      <w:r w:rsidRPr="00FE36A8">
        <w:rPr>
          <w:b/>
          <w:bCs/>
        </w:rPr>
        <w:t>Definition</w:t>
      </w:r>
    </w:p>
    <w:p w14:paraId="46F2865D" w14:textId="77777777" w:rsidR="00770E1C" w:rsidRPr="004A501B" w:rsidRDefault="00770E1C" w:rsidP="002D5343">
      <w:r w:rsidRPr="004A501B">
        <w:t>The risk that the organisation itself, or an organisation with which it is dealing in its treasury management activities, fails to act in accordance with its legal powers or regulatory requirements, and that the organisations suffers losses accordingly.</w:t>
      </w:r>
    </w:p>
    <w:p w14:paraId="611967B3" w14:textId="77777777" w:rsidR="00770E1C" w:rsidRPr="00FE36A8" w:rsidRDefault="00770E1C" w:rsidP="002D5343">
      <w:pPr>
        <w:rPr>
          <w:b/>
          <w:bCs/>
        </w:rPr>
      </w:pPr>
      <w:r w:rsidRPr="00FE36A8">
        <w:rPr>
          <w:b/>
          <w:bCs/>
        </w:rPr>
        <w:t>Action</w:t>
      </w:r>
    </w:p>
    <w:p w14:paraId="26AC3251" w14:textId="3F87E584" w:rsidR="00770E1C" w:rsidRPr="004A501B" w:rsidRDefault="002B640C" w:rsidP="002D5343">
      <w:r w:rsidRPr="004A501B">
        <w:t>The CFO will ensure that all</w:t>
      </w:r>
      <w:r w:rsidR="00770E1C" w:rsidRPr="004A501B">
        <w:t xml:space="preserve"> treasury management activities comply with its statutory powers and regulatory requirements</w:t>
      </w:r>
      <w:r w:rsidRPr="004A501B">
        <w:t>, demonstrating</w:t>
      </w:r>
      <w:r w:rsidR="00770E1C" w:rsidRPr="004A501B">
        <w:t xml:space="preserve"> such compliance, if required to do so, to all parties with whom it deals in such activities.  In framing its credit and counter-party policy under TMP1 </w:t>
      </w:r>
      <w:r w:rsidR="00770E1C" w:rsidRPr="004A501B">
        <w:rPr>
          <w:i/>
        </w:rPr>
        <w:t>credit and counter-party risk management,</w:t>
      </w:r>
      <w:r w:rsidR="00770E1C" w:rsidRPr="004A501B">
        <w:t xml:space="preserve"> it will ensure that there is evidence of </w:t>
      </w:r>
      <w:proofErr w:type="gramStart"/>
      <w:r w:rsidR="00770E1C" w:rsidRPr="004A501B">
        <w:t>counter-parties</w:t>
      </w:r>
      <w:proofErr w:type="gramEnd"/>
      <w:r w:rsidR="00770E1C" w:rsidRPr="004A501B">
        <w:t xml:space="preserve">’ powers, authority and compliance in respect of the transactions they may effect with the </w:t>
      </w:r>
      <w:r w:rsidR="00657EFA" w:rsidRPr="004A501B">
        <w:t>Commissioner</w:t>
      </w:r>
      <w:r w:rsidR="00770E1C" w:rsidRPr="004A501B">
        <w:t>, particularly with regard to duty of care and fees charged.</w:t>
      </w:r>
    </w:p>
    <w:p w14:paraId="371323AB" w14:textId="0A6630FB" w:rsidR="00770E1C" w:rsidRPr="004A501B" w:rsidRDefault="002B640C" w:rsidP="002D5343">
      <w:r w:rsidRPr="004A501B">
        <w:t>The CFO</w:t>
      </w:r>
      <w:r w:rsidR="00770E1C" w:rsidRPr="004A501B">
        <w:t xml:space="preserve"> recognises that future legislative or regulatory changes may impact on its treasury management activities and, so far as is reasonably able to do so, will seek to minimise the risk of these impacting adversely on the </w:t>
      </w:r>
      <w:r w:rsidR="00657EFA" w:rsidRPr="004A501B">
        <w:t>Commissioner</w:t>
      </w:r>
      <w:r w:rsidR="00770E1C" w:rsidRPr="004A501B">
        <w:t>.</w:t>
      </w:r>
    </w:p>
    <w:p w14:paraId="744C3394" w14:textId="77777777" w:rsidR="00770E1C" w:rsidRPr="004A501B" w:rsidRDefault="00770E1C" w:rsidP="002D5343"/>
    <w:p w14:paraId="2A63BA84" w14:textId="77777777" w:rsidR="00770E1C" w:rsidRPr="00FE36A8" w:rsidRDefault="00770E1C" w:rsidP="002D5343">
      <w:pPr>
        <w:rPr>
          <w:b/>
          <w:bCs/>
        </w:rPr>
      </w:pPr>
      <w:r w:rsidRPr="00FE36A8">
        <w:rPr>
          <w:b/>
          <w:bCs/>
        </w:rPr>
        <w:t xml:space="preserve">Fraud, </w:t>
      </w:r>
      <w:proofErr w:type="gramStart"/>
      <w:r w:rsidRPr="00FE36A8">
        <w:rPr>
          <w:b/>
          <w:bCs/>
        </w:rPr>
        <w:t>Error</w:t>
      </w:r>
      <w:proofErr w:type="gramEnd"/>
      <w:r w:rsidRPr="00FE36A8">
        <w:rPr>
          <w:b/>
          <w:bCs/>
        </w:rPr>
        <w:t xml:space="preserve"> and Corruption Contingency</w:t>
      </w:r>
    </w:p>
    <w:p w14:paraId="4EF71645" w14:textId="77777777" w:rsidR="00770E1C" w:rsidRPr="00FE36A8" w:rsidRDefault="00770E1C" w:rsidP="002D5343">
      <w:pPr>
        <w:rPr>
          <w:b/>
          <w:bCs/>
        </w:rPr>
      </w:pPr>
      <w:r w:rsidRPr="00FE36A8">
        <w:rPr>
          <w:b/>
          <w:bCs/>
        </w:rPr>
        <w:t xml:space="preserve">Definition </w:t>
      </w:r>
    </w:p>
    <w:p w14:paraId="781E375F" w14:textId="77777777" w:rsidR="00770E1C" w:rsidRPr="004A501B" w:rsidRDefault="00770E1C" w:rsidP="002D5343">
      <w:r w:rsidRPr="004A501B">
        <w:t xml:space="preserve">The risk that an organisation fails to identify the circumstances in which it may be exposed to the risk of loss through fraud, error, </w:t>
      </w:r>
      <w:proofErr w:type="gramStart"/>
      <w:r w:rsidRPr="004A501B">
        <w:t>corruption</w:t>
      </w:r>
      <w:proofErr w:type="gramEnd"/>
      <w:r w:rsidRPr="004A501B">
        <w:t xml:space="preserve"> or other eventualities in its treasury management dealings, and fails to employ suitable systems and procedures and maintain effective contingency management arrangements to these ends. It includes the area of risk commonly referred to as an operational risk.</w:t>
      </w:r>
    </w:p>
    <w:p w14:paraId="3A3F1D57" w14:textId="77777777" w:rsidR="00770E1C" w:rsidRPr="00FE36A8" w:rsidRDefault="00770E1C" w:rsidP="002D5343">
      <w:pPr>
        <w:rPr>
          <w:b/>
          <w:bCs/>
        </w:rPr>
      </w:pPr>
      <w:r w:rsidRPr="00FE36A8">
        <w:rPr>
          <w:b/>
          <w:bCs/>
        </w:rPr>
        <w:t>Action</w:t>
      </w:r>
    </w:p>
    <w:p w14:paraId="225566C1" w14:textId="1C95CFF8" w:rsidR="00770E1C" w:rsidRPr="004A501B" w:rsidRDefault="002B640C" w:rsidP="002D5343">
      <w:r w:rsidRPr="004A501B">
        <w:t xml:space="preserve">The CFO and </w:t>
      </w:r>
      <w:proofErr w:type="spellStart"/>
      <w:r w:rsidRPr="004A501B">
        <w:t>DoF</w:t>
      </w:r>
      <w:proofErr w:type="spellEnd"/>
      <w:r w:rsidRPr="004A501B">
        <w:t xml:space="preserve"> will ensure that</w:t>
      </w:r>
      <w:r w:rsidR="00770E1C" w:rsidRPr="004A501B">
        <w:t xml:space="preserve"> the circumstances which may expose it to the risk of loss through fraud, error, </w:t>
      </w:r>
      <w:proofErr w:type="gramStart"/>
      <w:r w:rsidR="00770E1C" w:rsidRPr="004A501B">
        <w:t>corruption</w:t>
      </w:r>
      <w:proofErr w:type="gramEnd"/>
      <w:r w:rsidR="00770E1C" w:rsidRPr="004A501B">
        <w:t xml:space="preserve"> or other eventualities in its treasury management dealings</w:t>
      </w:r>
      <w:r w:rsidRPr="004A501B">
        <w:t xml:space="preserve"> are identified</w:t>
      </w:r>
      <w:r w:rsidR="00770E1C" w:rsidRPr="004A501B">
        <w:t xml:space="preserve">.  Accordingly, it will employ suitable systems and procedures, and will maintain </w:t>
      </w:r>
      <w:r w:rsidR="00770E1C" w:rsidRPr="004A501B">
        <w:lastRenderedPageBreak/>
        <w:t>effective contingency management arrangements to these ends. Internal Audit will regularly review Treasury Management function and report to the Joint Audit Committee.</w:t>
      </w:r>
    </w:p>
    <w:p w14:paraId="4153ACEA" w14:textId="264D66BB" w:rsidR="00770E1C" w:rsidRPr="004A501B" w:rsidRDefault="00770E1C" w:rsidP="002D5343">
      <w:r w:rsidRPr="004A501B">
        <w:t xml:space="preserve">A clear, well defined reporting structure for fraud etc. is in place in the event of a systems breakdown. The insurance policy incorporates cover for fraud, </w:t>
      </w:r>
      <w:proofErr w:type="gramStart"/>
      <w:r w:rsidRPr="004A501B">
        <w:t>error</w:t>
      </w:r>
      <w:proofErr w:type="gramEnd"/>
      <w:r w:rsidRPr="004A501B">
        <w:t xml:space="preserve"> and corruption. Th</w:t>
      </w:r>
      <w:r w:rsidR="002B640C" w:rsidRPr="004A501B">
        <w:t>is is documented within the Counter</w:t>
      </w:r>
      <w:r w:rsidRPr="004A501B">
        <w:t>-fraud and Corruption policy and included within Financial Control Procedure 4.7 “Dealing with Suspected Fraud and deception.”</w:t>
      </w:r>
    </w:p>
    <w:p w14:paraId="421D6CB1" w14:textId="77777777" w:rsidR="00770E1C" w:rsidRPr="004A501B" w:rsidRDefault="00770E1C" w:rsidP="002D5343"/>
    <w:p w14:paraId="7DDF9A6A" w14:textId="77777777" w:rsidR="00770E1C" w:rsidRPr="00FE36A8" w:rsidRDefault="00770E1C" w:rsidP="002D5343">
      <w:pPr>
        <w:rPr>
          <w:b/>
          <w:bCs/>
        </w:rPr>
      </w:pPr>
      <w:r w:rsidRPr="00FE36A8">
        <w:rPr>
          <w:b/>
          <w:bCs/>
        </w:rPr>
        <w:t>Market Risk</w:t>
      </w:r>
    </w:p>
    <w:p w14:paraId="0633C5BA" w14:textId="77777777" w:rsidR="00770E1C" w:rsidRPr="00FE36A8" w:rsidRDefault="00770E1C" w:rsidP="002D5343">
      <w:pPr>
        <w:rPr>
          <w:b/>
          <w:bCs/>
          <w:u w:val="single"/>
        </w:rPr>
      </w:pPr>
      <w:r w:rsidRPr="00FE36A8">
        <w:rPr>
          <w:b/>
          <w:bCs/>
        </w:rPr>
        <w:t>Definition</w:t>
      </w:r>
    </w:p>
    <w:p w14:paraId="0B3535BC" w14:textId="77777777" w:rsidR="00770E1C" w:rsidRPr="004A501B" w:rsidRDefault="00770E1C" w:rsidP="002D5343">
      <w:r w:rsidRPr="004A501B">
        <w:t>The risk that through adverse fluctuations in the value of the principal sums an organisation borrows and invests, its stated treasury management policies and objectives are compromised, against which effects it has failed to protect itself adequately.</w:t>
      </w:r>
    </w:p>
    <w:p w14:paraId="135B1383" w14:textId="77777777" w:rsidR="00770E1C" w:rsidRPr="00FE36A8" w:rsidRDefault="00770E1C" w:rsidP="002D5343">
      <w:pPr>
        <w:rPr>
          <w:b/>
          <w:bCs/>
        </w:rPr>
      </w:pPr>
      <w:r w:rsidRPr="00FE36A8">
        <w:rPr>
          <w:b/>
          <w:bCs/>
        </w:rPr>
        <w:t>Action</w:t>
      </w:r>
    </w:p>
    <w:p w14:paraId="2808547E" w14:textId="1D60BBE4" w:rsidR="00770E1C" w:rsidRPr="004A501B" w:rsidRDefault="002B640C" w:rsidP="002D5343">
      <w:r w:rsidRPr="004A501B">
        <w:t>The CFO</w:t>
      </w:r>
      <w:r w:rsidR="00770E1C" w:rsidRPr="004A501B">
        <w:t xml:space="preserve"> will seek to ensure that its stated treasury management policies and objectives will not be compromised by adverse market fluctuations in the value of the principal sums it </w:t>
      </w:r>
      <w:proofErr w:type="gramStart"/>
      <w:r w:rsidR="00770E1C" w:rsidRPr="004A501B">
        <w:t>invests, and</w:t>
      </w:r>
      <w:proofErr w:type="gramEnd"/>
      <w:r w:rsidR="00770E1C" w:rsidRPr="004A501B">
        <w:t xml:space="preserve"> will accordingly seek to protect itself from the effects of such fluctuations. </w:t>
      </w:r>
    </w:p>
    <w:p w14:paraId="629E3FB0" w14:textId="21741CB4" w:rsidR="00770E1C" w:rsidRPr="004A501B" w:rsidRDefault="00770E1C" w:rsidP="002D5343">
      <w:r w:rsidRPr="004A501B">
        <w:t xml:space="preserve">It will only place investments with institutions that are included on the most recent counter-party lending list approved by </w:t>
      </w:r>
      <w:r w:rsidR="002F0B92">
        <w:t>the appointed Treasury Advisors.</w:t>
      </w:r>
    </w:p>
    <w:p w14:paraId="6BFE1B93" w14:textId="75646E89" w:rsidR="00770E1C" w:rsidRDefault="00770E1C" w:rsidP="002D5343"/>
    <w:p w14:paraId="28F17223" w14:textId="55F43A53" w:rsidR="00736CB6" w:rsidRDefault="00736CB6" w:rsidP="002D5343">
      <w:pPr>
        <w:rPr>
          <w:b/>
          <w:bCs/>
        </w:rPr>
      </w:pPr>
      <w:r w:rsidRPr="00B60CFD">
        <w:rPr>
          <w:b/>
          <w:bCs/>
        </w:rPr>
        <w:t>Environmental, Social &amp; Governance (ESG) Considerations</w:t>
      </w:r>
    </w:p>
    <w:p w14:paraId="156E5FF7" w14:textId="4C130B50" w:rsidR="00736CB6" w:rsidRPr="00736CB6" w:rsidRDefault="00736CB6" w:rsidP="002D5343">
      <w:r w:rsidRPr="00736CB6">
        <w:t xml:space="preserve">The Commissioner is </w:t>
      </w:r>
      <w:r w:rsidR="00073FB1">
        <w:t>giving</w:t>
      </w:r>
      <w:r w:rsidR="007D3F10">
        <w:t xml:space="preserve"> due </w:t>
      </w:r>
      <w:r w:rsidR="00B85066">
        <w:t>consideration to his</w:t>
      </w:r>
      <w:r w:rsidR="007D3F10" w:rsidRPr="00736CB6">
        <w:t xml:space="preserve"> </w:t>
      </w:r>
      <w:r w:rsidRPr="00736CB6">
        <w:t xml:space="preserve">ESG policy </w:t>
      </w:r>
      <w:r w:rsidR="00073FB1">
        <w:t>which</w:t>
      </w:r>
      <w:r w:rsidR="00B85066">
        <w:t xml:space="preserve"> will be developed in due </w:t>
      </w:r>
      <w:proofErr w:type="spellStart"/>
      <w:r w:rsidR="00B85066">
        <w:t>course.</w:t>
      </w:r>
      <w:r w:rsidRPr="00736CB6">
        <w:t>l</w:t>
      </w:r>
      <w:proofErr w:type="spellEnd"/>
      <w:r w:rsidRPr="00736CB6">
        <w:t>.</w:t>
      </w:r>
      <w:r w:rsidR="000A29B8">
        <w:t xml:space="preserve"> The treasury advisors Link believe it is not practicable at this time to </w:t>
      </w:r>
      <w:proofErr w:type="gramStart"/>
      <w:r w:rsidR="000A29B8">
        <w:t>expand  upon</w:t>
      </w:r>
      <w:proofErr w:type="gramEnd"/>
      <w:r w:rsidR="000A29B8">
        <w:t xml:space="preserve"> ESG matters due to a lack of consistency and uncertainty as to how the newly introduced ESG element of TMP1 will develop.</w:t>
      </w:r>
    </w:p>
    <w:p w14:paraId="5F40D9E6" w14:textId="77777777" w:rsidR="00736CB6" w:rsidRPr="004A501B" w:rsidRDefault="00736CB6" w:rsidP="002D5343"/>
    <w:p w14:paraId="0E74D20A" w14:textId="77777777" w:rsidR="00770E1C" w:rsidRPr="00FE36A8" w:rsidRDefault="00770E1C" w:rsidP="002D5343">
      <w:pPr>
        <w:rPr>
          <w:b/>
          <w:bCs/>
        </w:rPr>
      </w:pPr>
      <w:r w:rsidRPr="00FE36A8">
        <w:rPr>
          <w:b/>
          <w:bCs/>
        </w:rPr>
        <w:t>TMP</w:t>
      </w:r>
      <w:proofErr w:type="gramStart"/>
      <w:r w:rsidRPr="00FE36A8">
        <w:rPr>
          <w:b/>
          <w:bCs/>
        </w:rPr>
        <w:t>2  Performance</w:t>
      </w:r>
      <w:proofErr w:type="gramEnd"/>
      <w:r w:rsidRPr="00FE36A8">
        <w:rPr>
          <w:b/>
          <w:bCs/>
        </w:rPr>
        <w:t xml:space="preserve"> Measurement</w:t>
      </w:r>
    </w:p>
    <w:p w14:paraId="32AA7205" w14:textId="77777777" w:rsidR="00770E1C" w:rsidRPr="004A501B" w:rsidRDefault="00770E1C" w:rsidP="002D5343">
      <w:r w:rsidRPr="004A501B">
        <w:t>Dyfed Powys is committed to the pursuit of value for money in its treasury management activities and to the use of performance methodology in support of that aim, within the framework set out in its treasury management policy statement.</w:t>
      </w:r>
    </w:p>
    <w:p w14:paraId="4FE4FFFC" w14:textId="77777777" w:rsidR="00770E1C" w:rsidRPr="004A501B" w:rsidRDefault="00770E1C" w:rsidP="002D5343">
      <w:r w:rsidRPr="004A501B">
        <w:t xml:space="preserve">Accordingly, the treasury management function will be the subject of on-going analysis of the value it adds in support of the organisation’s stated business or service objectives. It will be the subject of regular examination of alternative methods of service delivery, of the availability of fiscal or other grant or subsidy incentives, and of the scope for other potential improvements. The performance of the treasury management function will be measured by using the criteria set out </w:t>
      </w:r>
      <w:proofErr w:type="gramStart"/>
      <w:r w:rsidRPr="004A501B">
        <w:t>below:-</w:t>
      </w:r>
      <w:proofErr w:type="gramEnd"/>
    </w:p>
    <w:p w14:paraId="1F3D3C0B" w14:textId="3A21E141" w:rsidR="00770E1C" w:rsidRDefault="00770E1C" w:rsidP="002D5343">
      <w:r w:rsidRPr="004A501B">
        <w:t>The performance measures / benchmarks for treasury management will inclu</w:t>
      </w:r>
      <w:r w:rsidR="00640AF6" w:rsidRPr="004A501B">
        <w:t xml:space="preserve">de the following: </w:t>
      </w:r>
      <w:r w:rsidRPr="004A501B">
        <w:t xml:space="preserve"> </w:t>
      </w:r>
    </w:p>
    <w:p w14:paraId="40CB6037" w14:textId="77777777" w:rsidR="00F75FAF" w:rsidRPr="004A501B" w:rsidRDefault="00F75FAF" w:rsidP="002D5343"/>
    <w:p w14:paraId="0B352F24" w14:textId="77777777" w:rsidR="00770E1C" w:rsidRPr="004A501B" w:rsidRDefault="00770E1C" w:rsidP="002D5343"/>
    <w:tbl>
      <w:tblPr>
        <w:tblStyle w:val="GridTable5Dark-Accent1"/>
        <w:tblW w:w="0" w:type="auto"/>
        <w:tblLook w:val="0420" w:firstRow="1" w:lastRow="0" w:firstColumn="0" w:lastColumn="0" w:noHBand="0" w:noVBand="1"/>
      </w:tblPr>
      <w:tblGrid>
        <w:gridCol w:w="328"/>
        <w:gridCol w:w="8172"/>
      </w:tblGrid>
      <w:tr w:rsidR="003C74E6" w:rsidRPr="004A501B" w14:paraId="4BACE91F" w14:textId="77777777" w:rsidTr="003C36D7">
        <w:trPr>
          <w:cnfStyle w:val="100000000000" w:firstRow="1" w:lastRow="0" w:firstColumn="0" w:lastColumn="0" w:oddVBand="0" w:evenVBand="0" w:oddHBand="0" w:evenHBand="0" w:firstRowFirstColumn="0" w:firstRowLastColumn="0" w:lastRowFirstColumn="0" w:lastRowLastColumn="0"/>
          <w:trHeight w:val="624"/>
        </w:trPr>
        <w:tc>
          <w:tcPr>
            <w:tcW w:w="328" w:type="dxa"/>
          </w:tcPr>
          <w:p w14:paraId="125E33F3" w14:textId="77777777" w:rsidR="00770E1C" w:rsidRPr="00FB10AD" w:rsidRDefault="00770E1C" w:rsidP="00FB10AD">
            <w:pPr>
              <w:spacing w:before="0" w:after="0"/>
              <w:rPr>
                <w:sz w:val="20"/>
                <w:szCs w:val="20"/>
              </w:rPr>
            </w:pPr>
          </w:p>
        </w:tc>
        <w:tc>
          <w:tcPr>
            <w:tcW w:w="8172" w:type="dxa"/>
          </w:tcPr>
          <w:p w14:paraId="42FBA9C6" w14:textId="77777777" w:rsidR="00770E1C" w:rsidRPr="00FB10AD" w:rsidRDefault="00770E1C" w:rsidP="00FB10AD">
            <w:pPr>
              <w:spacing w:before="0" w:after="0"/>
              <w:rPr>
                <w:sz w:val="20"/>
                <w:szCs w:val="20"/>
              </w:rPr>
            </w:pPr>
            <w:r w:rsidRPr="00FB10AD">
              <w:rPr>
                <w:sz w:val="20"/>
                <w:szCs w:val="20"/>
              </w:rPr>
              <w:t>Performance Measure</w:t>
            </w:r>
          </w:p>
        </w:tc>
      </w:tr>
      <w:tr w:rsidR="003C74E6" w:rsidRPr="004A501B" w14:paraId="5BC7D4FC" w14:textId="77777777" w:rsidTr="003C36D7">
        <w:trPr>
          <w:cnfStyle w:val="000000100000" w:firstRow="0" w:lastRow="0" w:firstColumn="0" w:lastColumn="0" w:oddVBand="0" w:evenVBand="0" w:oddHBand="1" w:evenHBand="0" w:firstRowFirstColumn="0" w:firstRowLastColumn="0" w:lastRowFirstColumn="0" w:lastRowLastColumn="0"/>
          <w:trHeight w:val="624"/>
        </w:trPr>
        <w:tc>
          <w:tcPr>
            <w:tcW w:w="328" w:type="dxa"/>
          </w:tcPr>
          <w:p w14:paraId="43781C15" w14:textId="77777777" w:rsidR="00770E1C" w:rsidRPr="00FB10AD" w:rsidRDefault="00770E1C" w:rsidP="00FB10AD">
            <w:pPr>
              <w:spacing w:before="0" w:after="0"/>
              <w:rPr>
                <w:sz w:val="20"/>
                <w:szCs w:val="20"/>
              </w:rPr>
            </w:pPr>
            <w:r w:rsidRPr="00FB10AD">
              <w:rPr>
                <w:sz w:val="20"/>
                <w:szCs w:val="20"/>
              </w:rPr>
              <w:t>1</w:t>
            </w:r>
          </w:p>
        </w:tc>
        <w:tc>
          <w:tcPr>
            <w:tcW w:w="8172" w:type="dxa"/>
          </w:tcPr>
          <w:p w14:paraId="71DA38F4" w14:textId="77777777" w:rsidR="00770E1C" w:rsidRPr="00FB10AD" w:rsidRDefault="00770E1C" w:rsidP="00FB10AD">
            <w:pPr>
              <w:spacing w:before="0" w:after="0"/>
              <w:rPr>
                <w:sz w:val="20"/>
                <w:szCs w:val="20"/>
              </w:rPr>
            </w:pPr>
            <w:r w:rsidRPr="00FB10AD">
              <w:rPr>
                <w:sz w:val="20"/>
                <w:szCs w:val="20"/>
              </w:rPr>
              <w:t>Achieving the budgeted investment income</w:t>
            </w:r>
          </w:p>
        </w:tc>
      </w:tr>
      <w:tr w:rsidR="003C74E6" w:rsidRPr="004A501B" w14:paraId="4B9355DE" w14:textId="77777777" w:rsidTr="003C36D7">
        <w:trPr>
          <w:trHeight w:val="624"/>
        </w:trPr>
        <w:tc>
          <w:tcPr>
            <w:tcW w:w="328" w:type="dxa"/>
          </w:tcPr>
          <w:p w14:paraId="1C42BA90" w14:textId="77777777" w:rsidR="00770E1C" w:rsidRPr="00FB10AD" w:rsidRDefault="00770E1C" w:rsidP="00FB10AD">
            <w:pPr>
              <w:spacing w:before="0" w:after="0"/>
              <w:rPr>
                <w:sz w:val="20"/>
                <w:szCs w:val="20"/>
              </w:rPr>
            </w:pPr>
            <w:r w:rsidRPr="00FB10AD">
              <w:rPr>
                <w:sz w:val="20"/>
                <w:szCs w:val="20"/>
              </w:rPr>
              <w:t>2</w:t>
            </w:r>
          </w:p>
        </w:tc>
        <w:tc>
          <w:tcPr>
            <w:tcW w:w="8172" w:type="dxa"/>
          </w:tcPr>
          <w:p w14:paraId="46FBF92F" w14:textId="77777777" w:rsidR="00770E1C" w:rsidRPr="00FB10AD" w:rsidRDefault="00770E1C" w:rsidP="00FB10AD">
            <w:pPr>
              <w:spacing w:before="0" w:after="0"/>
              <w:rPr>
                <w:sz w:val="20"/>
                <w:szCs w:val="20"/>
              </w:rPr>
            </w:pPr>
            <w:r w:rsidRPr="00FB10AD">
              <w:rPr>
                <w:sz w:val="20"/>
                <w:szCs w:val="20"/>
              </w:rPr>
              <w:t>Ensuring cash balance cover of 31 days</w:t>
            </w:r>
          </w:p>
        </w:tc>
      </w:tr>
      <w:tr w:rsidR="003C74E6" w:rsidRPr="004A501B" w14:paraId="5011E24C" w14:textId="77777777" w:rsidTr="003C36D7">
        <w:trPr>
          <w:cnfStyle w:val="000000100000" w:firstRow="0" w:lastRow="0" w:firstColumn="0" w:lastColumn="0" w:oddVBand="0" w:evenVBand="0" w:oddHBand="1" w:evenHBand="0" w:firstRowFirstColumn="0" w:firstRowLastColumn="0" w:lastRowFirstColumn="0" w:lastRowLastColumn="0"/>
          <w:trHeight w:val="624"/>
        </w:trPr>
        <w:tc>
          <w:tcPr>
            <w:tcW w:w="328" w:type="dxa"/>
          </w:tcPr>
          <w:p w14:paraId="6E51FEA9" w14:textId="77777777" w:rsidR="00770E1C" w:rsidRPr="00FB10AD" w:rsidRDefault="00770E1C" w:rsidP="00FB10AD">
            <w:pPr>
              <w:spacing w:before="0" w:after="0"/>
              <w:rPr>
                <w:sz w:val="20"/>
                <w:szCs w:val="20"/>
              </w:rPr>
            </w:pPr>
            <w:r w:rsidRPr="00FB10AD">
              <w:rPr>
                <w:sz w:val="20"/>
                <w:szCs w:val="20"/>
              </w:rPr>
              <w:t>3</w:t>
            </w:r>
          </w:p>
        </w:tc>
        <w:tc>
          <w:tcPr>
            <w:tcW w:w="8172" w:type="dxa"/>
          </w:tcPr>
          <w:p w14:paraId="5AA39181" w14:textId="77777777" w:rsidR="00770E1C" w:rsidRPr="00FB10AD" w:rsidRDefault="00770E1C" w:rsidP="00FB10AD">
            <w:pPr>
              <w:spacing w:before="0" w:after="0"/>
              <w:rPr>
                <w:sz w:val="20"/>
                <w:szCs w:val="20"/>
              </w:rPr>
            </w:pPr>
            <w:r w:rsidRPr="00FB10AD">
              <w:rPr>
                <w:sz w:val="20"/>
                <w:szCs w:val="20"/>
              </w:rPr>
              <w:t>Ensuring that investments are only placed with institutions which comply with the annual Treasury Management Strategy.</w:t>
            </w:r>
          </w:p>
        </w:tc>
      </w:tr>
      <w:tr w:rsidR="003C74E6" w:rsidRPr="004A501B" w14:paraId="01C2B7F7" w14:textId="77777777" w:rsidTr="003C36D7">
        <w:trPr>
          <w:trHeight w:val="624"/>
        </w:trPr>
        <w:tc>
          <w:tcPr>
            <w:tcW w:w="328" w:type="dxa"/>
          </w:tcPr>
          <w:p w14:paraId="59234EAE" w14:textId="77777777" w:rsidR="00770E1C" w:rsidRPr="00FB10AD" w:rsidRDefault="00770E1C" w:rsidP="00FB10AD">
            <w:pPr>
              <w:spacing w:before="0" w:after="0"/>
              <w:rPr>
                <w:sz w:val="20"/>
                <w:szCs w:val="20"/>
              </w:rPr>
            </w:pPr>
            <w:r w:rsidRPr="00FB10AD">
              <w:rPr>
                <w:sz w:val="20"/>
                <w:szCs w:val="20"/>
              </w:rPr>
              <w:t>4</w:t>
            </w:r>
          </w:p>
        </w:tc>
        <w:tc>
          <w:tcPr>
            <w:tcW w:w="8172" w:type="dxa"/>
          </w:tcPr>
          <w:p w14:paraId="3A8E5795" w14:textId="77777777" w:rsidR="00770E1C" w:rsidRPr="00FB10AD" w:rsidRDefault="00770E1C" w:rsidP="00FB10AD">
            <w:pPr>
              <w:spacing w:before="0" w:after="0"/>
              <w:rPr>
                <w:sz w:val="20"/>
                <w:szCs w:val="20"/>
              </w:rPr>
            </w:pPr>
            <w:r w:rsidRPr="00FB10AD">
              <w:rPr>
                <w:sz w:val="20"/>
                <w:szCs w:val="20"/>
              </w:rPr>
              <w:t>Ensuring approved counter-party limits are adhered to (refer to TMP’s 1/ 5)</w:t>
            </w:r>
          </w:p>
        </w:tc>
      </w:tr>
      <w:tr w:rsidR="003C74E6" w:rsidRPr="004A501B" w14:paraId="63B9E16B" w14:textId="77777777" w:rsidTr="003C36D7">
        <w:trPr>
          <w:cnfStyle w:val="000000100000" w:firstRow="0" w:lastRow="0" w:firstColumn="0" w:lastColumn="0" w:oddVBand="0" w:evenVBand="0" w:oddHBand="1" w:evenHBand="0" w:firstRowFirstColumn="0" w:firstRowLastColumn="0" w:lastRowFirstColumn="0" w:lastRowLastColumn="0"/>
          <w:trHeight w:val="624"/>
        </w:trPr>
        <w:tc>
          <w:tcPr>
            <w:tcW w:w="328" w:type="dxa"/>
          </w:tcPr>
          <w:p w14:paraId="26182120" w14:textId="77777777" w:rsidR="00770E1C" w:rsidRPr="00FB10AD" w:rsidRDefault="00770E1C" w:rsidP="00FB10AD">
            <w:pPr>
              <w:spacing w:before="0" w:after="0"/>
              <w:rPr>
                <w:sz w:val="20"/>
                <w:szCs w:val="20"/>
              </w:rPr>
            </w:pPr>
            <w:r w:rsidRPr="00FB10AD">
              <w:rPr>
                <w:sz w:val="20"/>
                <w:szCs w:val="20"/>
              </w:rPr>
              <w:t>5</w:t>
            </w:r>
          </w:p>
        </w:tc>
        <w:tc>
          <w:tcPr>
            <w:tcW w:w="8172" w:type="dxa"/>
          </w:tcPr>
          <w:p w14:paraId="06BB8A6B" w14:textId="77777777" w:rsidR="00770E1C" w:rsidRPr="00FB10AD" w:rsidRDefault="00770E1C" w:rsidP="00FB10AD">
            <w:pPr>
              <w:spacing w:before="0" w:after="0"/>
              <w:rPr>
                <w:sz w:val="20"/>
                <w:szCs w:val="20"/>
              </w:rPr>
            </w:pPr>
            <w:r w:rsidRPr="00FB10AD">
              <w:rPr>
                <w:sz w:val="20"/>
                <w:szCs w:val="20"/>
              </w:rPr>
              <w:t>Expected levels of Investments per month compared to actual level of investment</w:t>
            </w:r>
          </w:p>
        </w:tc>
      </w:tr>
      <w:tr w:rsidR="003C74E6" w:rsidRPr="004A501B" w14:paraId="7517F3CC" w14:textId="77777777" w:rsidTr="003C36D7">
        <w:trPr>
          <w:trHeight w:val="624"/>
        </w:trPr>
        <w:tc>
          <w:tcPr>
            <w:tcW w:w="328" w:type="dxa"/>
          </w:tcPr>
          <w:p w14:paraId="6D09A8B3" w14:textId="77777777" w:rsidR="00770E1C" w:rsidRPr="00FB10AD" w:rsidRDefault="00770E1C" w:rsidP="00FB10AD">
            <w:pPr>
              <w:spacing w:before="0" w:after="0"/>
              <w:rPr>
                <w:sz w:val="20"/>
                <w:szCs w:val="20"/>
              </w:rPr>
            </w:pPr>
            <w:r w:rsidRPr="00FB10AD">
              <w:rPr>
                <w:sz w:val="20"/>
                <w:szCs w:val="20"/>
              </w:rPr>
              <w:t>6</w:t>
            </w:r>
          </w:p>
        </w:tc>
        <w:tc>
          <w:tcPr>
            <w:tcW w:w="8172" w:type="dxa"/>
          </w:tcPr>
          <w:p w14:paraId="2699CB46" w14:textId="77777777" w:rsidR="00770E1C" w:rsidRPr="00FB10AD" w:rsidRDefault="00770E1C" w:rsidP="00FB10AD">
            <w:pPr>
              <w:spacing w:before="0" w:after="0"/>
              <w:rPr>
                <w:sz w:val="20"/>
                <w:szCs w:val="20"/>
              </w:rPr>
            </w:pPr>
            <w:r w:rsidRPr="00FB10AD">
              <w:rPr>
                <w:sz w:val="20"/>
                <w:szCs w:val="20"/>
              </w:rPr>
              <w:t>Average rate of return of investments per month compared to target rate</w:t>
            </w:r>
          </w:p>
        </w:tc>
      </w:tr>
    </w:tbl>
    <w:p w14:paraId="32F0E23B" w14:textId="77777777" w:rsidR="00770E1C" w:rsidRPr="004A501B" w:rsidRDefault="00770E1C" w:rsidP="002D5343"/>
    <w:p w14:paraId="5E23B47E" w14:textId="77777777" w:rsidR="00770E1C" w:rsidRPr="00FE36A8" w:rsidRDefault="00770E1C" w:rsidP="002D5343">
      <w:pPr>
        <w:rPr>
          <w:b/>
          <w:bCs/>
        </w:rPr>
      </w:pPr>
      <w:r w:rsidRPr="00FE36A8">
        <w:rPr>
          <w:b/>
          <w:bCs/>
        </w:rPr>
        <w:t>TMP</w:t>
      </w:r>
      <w:proofErr w:type="gramStart"/>
      <w:r w:rsidRPr="00FE36A8">
        <w:rPr>
          <w:b/>
          <w:bCs/>
        </w:rPr>
        <w:t>3  Decision</w:t>
      </w:r>
      <w:proofErr w:type="gramEnd"/>
      <w:r w:rsidRPr="00FE36A8">
        <w:rPr>
          <w:b/>
          <w:bCs/>
        </w:rPr>
        <w:t xml:space="preserve"> Making and Analysis</w:t>
      </w:r>
    </w:p>
    <w:p w14:paraId="1AD0356B" w14:textId="77777777" w:rsidR="00770E1C" w:rsidRPr="004A501B" w:rsidRDefault="00770E1C" w:rsidP="002D5343">
      <w:r w:rsidRPr="004A501B">
        <w:t xml:space="preserve">Dyfed Powys will maintain full records of its treasury management decisions and of the processes and practices applied in reaching those decisions, both for the purposes of learning from the past, and for demonstrating that reasonable steps were taken to ensure that all issues relevant to those decisions were </w:t>
      </w:r>
      <w:proofErr w:type="gramStart"/>
      <w:r w:rsidRPr="004A501B">
        <w:t>taken into account</w:t>
      </w:r>
      <w:proofErr w:type="gramEnd"/>
      <w:r w:rsidRPr="004A501B">
        <w:t xml:space="preserve"> at the time.</w:t>
      </w:r>
    </w:p>
    <w:p w14:paraId="409E1613" w14:textId="77777777" w:rsidR="00770E1C" w:rsidRPr="004A501B" w:rsidRDefault="00770E1C" w:rsidP="002D5343">
      <w:r w:rsidRPr="004A501B">
        <w:t>Decisions regarding funding, borrowing, lending and new instruments and techniques will only be made if they comply with the Treasury Management Policy and Strategy. All decisions will be open to independent scrutiny.</w:t>
      </w:r>
    </w:p>
    <w:p w14:paraId="0BC1A654" w14:textId="77777777" w:rsidR="00E86F65" w:rsidRPr="004A501B" w:rsidRDefault="00E86F65" w:rsidP="002D5343"/>
    <w:p w14:paraId="1F16ACAD" w14:textId="77777777" w:rsidR="00770E1C" w:rsidRPr="00FE36A8" w:rsidRDefault="00770E1C" w:rsidP="002D5343">
      <w:pPr>
        <w:rPr>
          <w:b/>
          <w:bCs/>
        </w:rPr>
      </w:pPr>
      <w:r w:rsidRPr="00FE36A8">
        <w:rPr>
          <w:b/>
          <w:bCs/>
        </w:rPr>
        <w:t>TMP</w:t>
      </w:r>
      <w:proofErr w:type="gramStart"/>
      <w:r w:rsidRPr="00FE36A8">
        <w:rPr>
          <w:b/>
          <w:bCs/>
        </w:rPr>
        <w:t>4  Approved</w:t>
      </w:r>
      <w:proofErr w:type="gramEnd"/>
      <w:r w:rsidRPr="00FE36A8">
        <w:rPr>
          <w:b/>
          <w:bCs/>
        </w:rPr>
        <w:t xml:space="preserve"> Instruments, Methods and Techniques</w:t>
      </w:r>
    </w:p>
    <w:p w14:paraId="43EB1940" w14:textId="77777777" w:rsidR="00770E1C" w:rsidRPr="004A501B" w:rsidRDefault="00770E1C" w:rsidP="002D5343">
      <w:r w:rsidRPr="004A501B">
        <w:t xml:space="preserve">Dyfed Powys will undertake its treasury management activities by employing only those instruments, methods and techniques specified in the Financial Regulations and Financial Control Procedures and within the limits and parameters defined in TMP 1 Risk Management. </w:t>
      </w:r>
    </w:p>
    <w:p w14:paraId="2D349321" w14:textId="77777777" w:rsidR="00770E1C" w:rsidRPr="004A501B" w:rsidRDefault="00770E1C" w:rsidP="002D5343">
      <w:r w:rsidRPr="004A501B">
        <w:t xml:space="preserve">The Corporate Governance Framework section 7.8F gives instruction on Treasury Management and Banking arrangements and the Financial Control Procedure 2.1 </w:t>
      </w:r>
      <w:r w:rsidRPr="004A501B">
        <w:rPr>
          <w:i/>
        </w:rPr>
        <w:t xml:space="preserve">Treasury Management and Banking arrangements </w:t>
      </w:r>
      <w:r w:rsidRPr="004A501B">
        <w:t>specify instruments, methods and techniques approved.</w:t>
      </w:r>
    </w:p>
    <w:p w14:paraId="54FD1B86" w14:textId="77777777" w:rsidR="00770E1C" w:rsidRPr="004A501B" w:rsidRDefault="00770E1C" w:rsidP="002D5343"/>
    <w:p w14:paraId="0D15C8E9" w14:textId="77777777" w:rsidR="00770E1C" w:rsidRPr="00FE36A8" w:rsidRDefault="00770E1C" w:rsidP="002D5343">
      <w:pPr>
        <w:rPr>
          <w:b/>
          <w:bCs/>
        </w:rPr>
      </w:pPr>
      <w:r w:rsidRPr="00FE36A8">
        <w:rPr>
          <w:b/>
          <w:bCs/>
        </w:rPr>
        <w:t>TMP</w:t>
      </w:r>
      <w:proofErr w:type="gramStart"/>
      <w:r w:rsidRPr="00FE36A8">
        <w:rPr>
          <w:b/>
          <w:bCs/>
        </w:rPr>
        <w:t>5  Organisation</w:t>
      </w:r>
      <w:proofErr w:type="gramEnd"/>
      <w:r w:rsidRPr="00FE36A8">
        <w:rPr>
          <w:b/>
          <w:bCs/>
        </w:rPr>
        <w:t>, Clarity and Segregation of Responsibilities and Dealing Arrangements</w:t>
      </w:r>
    </w:p>
    <w:p w14:paraId="17C95555" w14:textId="5A990DB7" w:rsidR="00770E1C" w:rsidRPr="004A501B" w:rsidRDefault="002B640C" w:rsidP="002D5343">
      <w:r w:rsidRPr="004A501B">
        <w:t>The Commissioner</w:t>
      </w:r>
      <w:r w:rsidR="00770E1C" w:rsidRPr="004A501B">
        <w:t xml:space="preserve"> considers it essential, for the purposes of the effective control and monitoring of its treasury management activities, for the reduction of the risk of fraud or error, and for the pursuit of optimum performance, that these activities are structured and managed in a fully integrated manner, and that there is, </w:t>
      </w:r>
      <w:proofErr w:type="gramStart"/>
      <w:r w:rsidR="00770E1C" w:rsidRPr="004A501B">
        <w:t>at all times</w:t>
      </w:r>
      <w:proofErr w:type="gramEnd"/>
      <w:r w:rsidR="00770E1C" w:rsidRPr="004A501B">
        <w:t>, clarity of treasury management responsibilities.</w:t>
      </w:r>
    </w:p>
    <w:p w14:paraId="21DB6AAF" w14:textId="77777777" w:rsidR="00770E1C" w:rsidRPr="004A501B" w:rsidRDefault="00770E1C" w:rsidP="002D5343">
      <w:r w:rsidRPr="004A501B">
        <w:lastRenderedPageBreak/>
        <w:t xml:space="preserve">The principle on which this will be based is a clear distinction between those charged with setting treasury management policies and those charged with implementing and controlling these policies, particularly </w:t>
      </w:r>
      <w:proofErr w:type="gramStart"/>
      <w:r w:rsidRPr="004A501B">
        <w:t>with regard to</w:t>
      </w:r>
      <w:proofErr w:type="gramEnd"/>
      <w:r w:rsidRPr="004A501B">
        <w:t xml:space="preserve"> the execution and transmission of funds, the recording and administering of treasury management decisions, and the audit and review of the treasury management function. </w:t>
      </w:r>
    </w:p>
    <w:p w14:paraId="79987604" w14:textId="73C9B83C" w:rsidR="00770E1C" w:rsidRPr="004A501B" w:rsidRDefault="00770E1C" w:rsidP="002D5343">
      <w:proofErr w:type="gramStart"/>
      <w:r w:rsidRPr="004A501B">
        <w:t>If and when</w:t>
      </w:r>
      <w:proofErr w:type="gramEnd"/>
      <w:r w:rsidRPr="004A501B">
        <w:t xml:space="preserve"> Dyfed Powys intends, as a result of lack of resources or other circumstances, to depar</w:t>
      </w:r>
      <w:r w:rsidR="002B640C" w:rsidRPr="004A501B">
        <w:t xml:space="preserve">t from these principles, the </w:t>
      </w:r>
      <w:r w:rsidR="006B0C6E" w:rsidRPr="004A501B">
        <w:t>DOF</w:t>
      </w:r>
      <w:r w:rsidRPr="004A501B">
        <w:t xml:space="preserve"> will ensure that the reasons are properly reported to the </w:t>
      </w:r>
      <w:r w:rsidR="006B0C6E" w:rsidRPr="004A501B">
        <w:t>CFO</w:t>
      </w:r>
      <w:r w:rsidRPr="004A501B">
        <w:t xml:space="preserve"> in accordance with TMP6 </w:t>
      </w:r>
      <w:r w:rsidRPr="004A501B">
        <w:rPr>
          <w:i/>
        </w:rPr>
        <w:t>Reporting Requirements and Management Information Arrangements,</w:t>
      </w:r>
      <w:r w:rsidRPr="004A501B">
        <w:t xml:space="preserve"> and the implications properly considered and evaluated.</w:t>
      </w:r>
    </w:p>
    <w:p w14:paraId="68F46B5D" w14:textId="51E6A78B" w:rsidR="00770E1C" w:rsidRPr="004A501B" w:rsidRDefault="002B640C" w:rsidP="002D5343">
      <w:r w:rsidRPr="004A501B">
        <w:t xml:space="preserve">The </w:t>
      </w:r>
      <w:r w:rsidR="006B0C6E" w:rsidRPr="004A501B">
        <w:t>DOF</w:t>
      </w:r>
      <w:r w:rsidR="00770E1C" w:rsidRPr="004A501B">
        <w:t xml:space="preserve"> will ensure that there are clear written statements of the responsibilities for each post engaged in treasury management, and the arrangem</w:t>
      </w:r>
      <w:r w:rsidRPr="004A501B">
        <w:t xml:space="preserve">ents for absence cover.  The </w:t>
      </w:r>
      <w:r w:rsidR="006B0C6E" w:rsidRPr="004A501B">
        <w:t>DOF</w:t>
      </w:r>
      <w:r w:rsidR="00770E1C" w:rsidRPr="004A501B">
        <w:t xml:space="preserve"> will also </w:t>
      </w:r>
      <w:proofErr w:type="gramStart"/>
      <w:r w:rsidR="00770E1C" w:rsidRPr="004A501B">
        <w:t>ensure that at all times</w:t>
      </w:r>
      <w:proofErr w:type="gramEnd"/>
      <w:r w:rsidR="00770E1C" w:rsidRPr="004A501B">
        <w:t xml:space="preserve"> those engaged in treasury management will follow the policies and procedures set out and report any deviance from these to the </w:t>
      </w:r>
      <w:r w:rsidR="006B0C6E" w:rsidRPr="004A501B">
        <w:t>CFO</w:t>
      </w:r>
      <w:r w:rsidR="00770E1C" w:rsidRPr="004A501B">
        <w:t>.</w:t>
      </w:r>
    </w:p>
    <w:p w14:paraId="03C7CEFE" w14:textId="3687A382" w:rsidR="00770E1C" w:rsidRDefault="002B640C" w:rsidP="002D5343">
      <w:r w:rsidRPr="004A501B">
        <w:t xml:space="preserve">The </w:t>
      </w:r>
      <w:r w:rsidR="006B0C6E" w:rsidRPr="004A501B">
        <w:t>DOF</w:t>
      </w:r>
      <w:r w:rsidR="00770E1C" w:rsidRPr="004A501B">
        <w:t xml:space="preserve"> will ensure that there is proper documentation for all deals and transactions and that procedures exist for the effective transmission of funds and provide evidence of this where required to the </w:t>
      </w:r>
      <w:r w:rsidR="006B0C6E" w:rsidRPr="004A501B">
        <w:t>CFO</w:t>
      </w:r>
      <w:r w:rsidR="00770E1C" w:rsidRPr="004A501B">
        <w:t xml:space="preserve">.  </w:t>
      </w:r>
    </w:p>
    <w:p w14:paraId="4FF51FDE" w14:textId="77777777" w:rsidR="0054185E" w:rsidRPr="004A501B" w:rsidRDefault="0054185E" w:rsidP="0054185E">
      <w:r w:rsidRPr="004A501B">
        <w:t>The CFO has primacy over Treasury Management functions and will ensure that adequate separation of duties exist between staff charged with undertaking Treasury Management Functions.</w:t>
      </w:r>
    </w:p>
    <w:p w14:paraId="235C9196" w14:textId="77777777" w:rsidR="00770E1C" w:rsidRPr="004A501B" w:rsidRDefault="00770E1C" w:rsidP="002D5343"/>
    <w:p w14:paraId="3149DA85" w14:textId="77777777" w:rsidR="00770E1C" w:rsidRPr="00B40D29" w:rsidRDefault="00770E1C" w:rsidP="002D5343">
      <w:pPr>
        <w:rPr>
          <w:b/>
          <w:bCs/>
        </w:rPr>
      </w:pPr>
      <w:r w:rsidRPr="00B40D29">
        <w:rPr>
          <w:b/>
          <w:bCs/>
        </w:rPr>
        <w:t>TMP</w:t>
      </w:r>
      <w:proofErr w:type="gramStart"/>
      <w:r w:rsidRPr="00B40D29">
        <w:rPr>
          <w:b/>
          <w:bCs/>
        </w:rPr>
        <w:t>6  Reporting</w:t>
      </w:r>
      <w:proofErr w:type="gramEnd"/>
      <w:r w:rsidRPr="00B40D29">
        <w:rPr>
          <w:b/>
          <w:bCs/>
        </w:rPr>
        <w:t xml:space="preserve"> Requirements and Management Information Arrangements</w:t>
      </w:r>
    </w:p>
    <w:p w14:paraId="1BFBB6F3" w14:textId="552C6515" w:rsidR="002905B1" w:rsidRPr="00B40D29" w:rsidRDefault="002905B1" w:rsidP="002905B1">
      <w:r w:rsidRPr="00B40D29">
        <w:t xml:space="preserve">The Authority is currently required to receive and approve, as a minimum, three main treasury reports each year, which incorporate a variety of policies, estimates and actuals.  </w:t>
      </w:r>
    </w:p>
    <w:p w14:paraId="6EF05BC5" w14:textId="23525C5C" w:rsidR="000F6C61" w:rsidRPr="00B40D29" w:rsidRDefault="000F6C61" w:rsidP="000F6C61">
      <w:pPr>
        <w:pStyle w:val="ListParagraph"/>
        <w:numPr>
          <w:ilvl w:val="0"/>
          <w:numId w:val="41"/>
        </w:numPr>
      </w:pPr>
      <w:r w:rsidRPr="00B40D29">
        <w:t>Prudential and treasury indicators and treasury strategy (this report) - The first, and most important report is forward looking and covers:</w:t>
      </w:r>
    </w:p>
    <w:p w14:paraId="29AE0213" w14:textId="7C7701EA" w:rsidR="000F6C61" w:rsidRPr="00B40D29" w:rsidRDefault="000F6C61" w:rsidP="000F6C61">
      <w:pPr>
        <w:pStyle w:val="ListParagraph"/>
        <w:numPr>
          <w:ilvl w:val="1"/>
          <w:numId w:val="41"/>
        </w:numPr>
      </w:pPr>
      <w:r w:rsidRPr="00B40D29">
        <w:t>the capital plans, (including prudential indicators)</w:t>
      </w:r>
    </w:p>
    <w:p w14:paraId="7C916BBC" w14:textId="1366D5FB" w:rsidR="000F6C61" w:rsidRPr="00B40D29" w:rsidRDefault="000F6C61" w:rsidP="000F6C61">
      <w:pPr>
        <w:pStyle w:val="ListParagraph"/>
        <w:numPr>
          <w:ilvl w:val="1"/>
          <w:numId w:val="41"/>
        </w:numPr>
      </w:pPr>
      <w:r w:rsidRPr="00B40D29">
        <w:t>a minimum revenue provision (MRP) policy, (how residual capital expenditure is charged to revenue over time)</w:t>
      </w:r>
    </w:p>
    <w:p w14:paraId="6B2BBA93" w14:textId="10A0B06A" w:rsidR="000F6C61" w:rsidRPr="00B40D29" w:rsidRDefault="000F6C61" w:rsidP="000F6C61">
      <w:pPr>
        <w:pStyle w:val="ListParagraph"/>
        <w:numPr>
          <w:ilvl w:val="1"/>
          <w:numId w:val="41"/>
        </w:numPr>
      </w:pPr>
      <w:r w:rsidRPr="00B40D29">
        <w:t>the Treasury Management Strategy, (how the investments and borrowings are to be organised), including treasury indicators</w:t>
      </w:r>
    </w:p>
    <w:p w14:paraId="7F9C8E86" w14:textId="49EA72C9" w:rsidR="000F6C61" w:rsidRPr="00B40D29" w:rsidRDefault="000F6C61" w:rsidP="000F6C61">
      <w:pPr>
        <w:pStyle w:val="ListParagraph"/>
        <w:numPr>
          <w:ilvl w:val="1"/>
          <w:numId w:val="41"/>
        </w:numPr>
      </w:pPr>
      <w:r w:rsidRPr="00B40D29">
        <w:t>an Annual Investment Strategy, (the parameters on how investments are to be managed)</w:t>
      </w:r>
    </w:p>
    <w:p w14:paraId="47CD57C4" w14:textId="7C82A801" w:rsidR="000F6C61" w:rsidRPr="00B40D29" w:rsidRDefault="002905B1" w:rsidP="000F6C61">
      <w:pPr>
        <w:pStyle w:val="ListParagraph"/>
        <w:numPr>
          <w:ilvl w:val="0"/>
          <w:numId w:val="41"/>
        </w:numPr>
      </w:pPr>
      <w:r w:rsidRPr="00B40D29">
        <w:t>A mid-year treasury management report – This is primarily a progress report and will update members on the capital position, amending prudential indicators as necessary, and whether any policies require revision.  In addition, this Authority will receive quarterly update reports</w:t>
      </w:r>
    </w:p>
    <w:p w14:paraId="3B742FFD" w14:textId="1B3C953A" w:rsidR="000F6C61" w:rsidRPr="00B40D29" w:rsidRDefault="000F6C61" w:rsidP="000F6C61">
      <w:pPr>
        <w:pStyle w:val="ListParagraph"/>
        <w:numPr>
          <w:ilvl w:val="0"/>
          <w:numId w:val="41"/>
        </w:numPr>
      </w:pPr>
      <w:r w:rsidRPr="00B40D29">
        <w:t>An annual treasury report – This is a backward-looking review document and provides details of a selection of actual prudential and treasury indicators and actual treasury operations compared to the estimates within the strategy</w:t>
      </w:r>
    </w:p>
    <w:p w14:paraId="6C7C801B" w14:textId="77777777" w:rsidR="002905B1" w:rsidRDefault="002905B1" w:rsidP="002905B1"/>
    <w:p w14:paraId="11A83B9B" w14:textId="050D43C2" w:rsidR="002905B1" w:rsidRDefault="002905B1" w:rsidP="002905B1">
      <w:r w:rsidRPr="00B60CFD">
        <w:lastRenderedPageBreak/>
        <w:t xml:space="preserve">The above reports are required to be adequately scrutinised before being recommended to the </w:t>
      </w:r>
      <w:r w:rsidR="00B60CFD" w:rsidRPr="00B60CFD">
        <w:t>Commissioner</w:t>
      </w:r>
      <w:r w:rsidRPr="00B60CFD">
        <w:t>.  This role is undertaken by the</w:t>
      </w:r>
      <w:r w:rsidR="00B60CFD" w:rsidRPr="00B60CFD">
        <w:t xml:space="preserve"> Joint Audit</w:t>
      </w:r>
      <w:r w:rsidRPr="00B60CFD">
        <w:t xml:space="preserve"> Committee.</w:t>
      </w:r>
      <w:r>
        <w:t xml:space="preserve">  </w:t>
      </w:r>
    </w:p>
    <w:p w14:paraId="08294A21" w14:textId="29B12EB7" w:rsidR="0011422F" w:rsidRPr="0054185E" w:rsidRDefault="002905B1" w:rsidP="0054185E">
      <w:pPr>
        <w:rPr>
          <w:rFonts w:eastAsia="Times New Roman" w:cs="Times New Roman"/>
          <w:spacing w:val="-5"/>
          <w:szCs w:val="20"/>
        </w:rPr>
      </w:pPr>
      <w:r>
        <w:t xml:space="preserve">In addition to the three major reports detailed above, from 2023/24 quarterly reporting (end of June/end of December) is also required.  </w:t>
      </w:r>
      <w:r w:rsidR="0011422F">
        <w:t>T</w:t>
      </w:r>
      <w:r w:rsidR="0011422F" w:rsidRPr="0054185E">
        <w:rPr>
          <w:rFonts w:eastAsia="Times New Roman" w:cs="Times New Roman"/>
          <w:spacing w:val="-5"/>
          <w:szCs w:val="20"/>
        </w:rPr>
        <w:t xml:space="preserve">he CFO is required to establish procedures to monitor and report performance against all forward-looking prudential indicators at least quarterly. The CFO is expected to establish a measurement and reporting process that highlights significant actual or forecast deviations from the approved indicators.  However, monitoring of prudential indicators, including forecast debt and investments, is not required to be taken to Joint Audit Committee and should be reported as part of the authority’s integrated revenue, </w:t>
      </w:r>
      <w:proofErr w:type="gramStart"/>
      <w:r w:rsidR="0011422F" w:rsidRPr="0054185E">
        <w:rPr>
          <w:rFonts w:eastAsia="Times New Roman" w:cs="Times New Roman"/>
          <w:spacing w:val="-5"/>
          <w:szCs w:val="20"/>
        </w:rPr>
        <w:t>capital</w:t>
      </w:r>
      <w:proofErr w:type="gramEnd"/>
      <w:r w:rsidR="0011422F" w:rsidRPr="0054185E">
        <w:rPr>
          <w:rFonts w:eastAsia="Times New Roman" w:cs="Times New Roman"/>
          <w:spacing w:val="-5"/>
          <w:szCs w:val="20"/>
        </w:rPr>
        <w:t xml:space="preserve"> and balance sheet monitoring</w:t>
      </w:r>
    </w:p>
    <w:p w14:paraId="48DB776B" w14:textId="77777777" w:rsidR="002905B1" w:rsidRPr="004A501B" w:rsidRDefault="002905B1" w:rsidP="002D5343"/>
    <w:p w14:paraId="267A89BD" w14:textId="77777777" w:rsidR="00770E1C" w:rsidRPr="00FE36A8" w:rsidRDefault="00770E1C" w:rsidP="002D5343">
      <w:pPr>
        <w:rPr>
          <w:b/>
          <w:bCs/>
        </w:rPr>
      </w:pPr>
      <w:r w:rsidRPr="00FE36A8">
        <w:rPr>
          <w:b/>
          <w:bCs/>
        </w:rPr>
        <w:t>TMP</w:t>
      </w:r>
      <w:proofErr w:type="gramStart"/>
      <w:r w:rsidRPr="00FE36A8">
        <w:rPr>
          <w:b/>
          <w:bCs/>
        </w:rPr>
        <w:t>7  Budgeting</w:t>
      </w:r>
      <w:proofErr w:type="gramEnd"/>
      <w:r w:rsidRPr="00FE36A8">
        <w:rPr>
          <w:b/>
          <w:bCs/>
        </w:rPr>
        <w:t>, Accounting and Audit Arrangements</w:t>
      </w:r>
    </w:p>
    <w:p w14:paraId="4602D387" w14:textId="52EC1AC4" w:rsidR="00770E1C" w:rsidRPr="004A501B" w:rsidRDefault="00770E1C" w:rsidP="002D5343">
      <w:r w:rsidRPr="004A501B">
        <w:t xml:space="preserve">The </w:t>
      </w:r>
      <w:r w:rsidR="006B0C6E" w:rsidRPr="004A501B">
        <w:t xml:space="preserve">CFO </w:t>
      </w:r>
      <w:r w:rsidRPr="004A501B">
        <w:t xml:space="preserve">will </w:t>
      </w:r>
      <w:proofErr w:type="gramStart"/>
      <w:r w:rsidRPr="004A501B">
        <w:t>prepare</w:t>
      </w:r>
      <w:proofErr w:type="gramEnd"/>
      <w:r w:rsidRPr="004A501B">
        <w:t xml:space="preserve"> and the </w:t>
      </w:r>
      <w:r w:rsidR="00657EFA" w:rsidRPr="004A501B">
        <w:t>Commissioner</w:t>
      </w:r>
      <w:r w:rsidRPr="004A501B">
        <w:t xml:space="preserve"> will approve and if necessary from time to time will amend the annual budget for the Treasury Management function, together with associated income. The matters to be included in the budget will be at minimum those required by statute or regulation, together with such information as will demonstrate compliance with TMP1 </w:t>
      </w:r>
      <w:r w:rsidRPr="004A501B">
        <w:rPr>
          <w:i/>
        </w:rPr>
        <w:t>Risk Management</w:t>
      </w:r>
      <w:r w:rsidRPr="004A501B">
        <w:t xml:space="preserve">, TMP2 </w:t>
      </w:r>
      <w:r w:rsidRPr="004A501B">
        <w:rPr>
          <w:i/>
        </w:rPr>
        <w:t>Performance Measurement</w:t>
      </w:r>
      <w:r w:rsidRPr="004A501B">
        <w:t xml:space="preserve"> and TMP4 </w:t>
      </w:r>
      <w:r w:rsidRPr="004A501B">
        <w:rPr>
          <w:i/>
        </w:rPr>
        <w:t xml:space="preserve">Approved Instruments, </w:t>
      </w:r>
      <w:proofErr w:type="gramStart"/>
      <w:r w:rsidRPr="004A501B">
        <w:rPr>
          <w:i/>
        </w:rPr>
        <w:t>Methods</w:t>
      </w:r>
      <w:proofErr w:type="gramEnd"/>
      <w:r w:rsidRPr="004A501B">
        <w:rPr>
          <w:i/>
        </w:rPr>
        <w:t xml:space="preserve"> and Techniques</w:t>
      </w:r>
      <w:r w:rsidRPr="004A501B">
        <w:t xml:space="preserve">. The CFO will exercise effective controls over this budget and will report upon and recommend any changes required in accordance with TMP6 </w:t>
      </w:r>
      <w:r w:rsidRPr="004A501B">
        <w:rPr>
          <w:i/>
        </w:rPr>
        <w:t>Reporting Requirements and Management Information Arrangements</w:t>
      </w:r>
      <w:r w:rsidRPr="004A501B">
        <w:t>.</w:t>
      </w:r>
    </w:p>
    <w:p w14:paraId="7579C0E6" w14:textId="0DFEB05D" w:rsidR="00770E1C" w:rsidRPr="004A501B" w:rsidRDefault="002B640C" w:rsidP="002D5343">
      <w:pPr>
        <w:rPr>
          <w:i/>
          <w:iCs/>
        </w:rPr>
      </w:pPr>
      <w:r w:rsidRPr="004A501B">
        <w:t xml:space="preserve">The </w:t>
      </w:r>
      <w:r w:rsidR="006B0C6E" w:rsidRPr="004A501B">
        <w:t xml:space="preserve">CFO </w:t>
      </w:r>
      <w:r w:rsidR="00770E1C" w:rsidRPr="004A501B">
        <w:t xml:space="preserve">will account for its treasury management activities, for decisions made and transactions executed, in accordance with appropriate accounting practices and standards, and with statutory and regulatory requirements in force for the time being and </w:t>
      </w:r>
      <w:proofErr w:type="gramStart"/>
      <w:r w:rsidR="00770E1C" w:rsidRPr="004A501B">
        <w:t>in particular the</w:t>
      </w:r>
      <w:proofErr w:type="gramEnd"/>
      <w:r w:rsidR="00770E1C" w:rsidRPr="004A501B">
        <w:t xml:space="preserve"> CIPFA Code of Practice and Cross-Sectoral Guidance Notes for Treasury Management in Public Services. The CFO will act in accordance with the </w:t>
      </w:r>
      <w:r w:rsidR="00657EFA" w:rsidRPr="004A501B">
        <w:t>Commissioner</w:t>
      </w:r>
      <w:r w:rsidR="00770E1C" w:rsidRPr="004A501B">
        <w:t xml:space="preserve">’s policy statement and TMPs and the </w:t>
      </w:r>
      <w:r w:rsidR="00770E1C" w:rsidRPr="004A501B">
        <w:rPr>
          <w:i/>
          <w:iCs/>
        </w:rPr>
        <w:t>CIPFA: Standard of Professional Practice on Treasury Management.</w:t>
      </w:r>
    </w:p>
    <w:p w14:paraId="5AEA361B" w14:textId="70D6C621" w:rsidR="00770E1C" w:rsidRPr="004A501B" w:rsidRDefault="00770E1C" w:rsidP="002D5343">
      <w:r w:rsidRPr="004A501B">
        <w:t xml:space="preserve">The </w:t>
      </w:r>
      <w:r w:rsidR="00657EFA" w:rsidRPr="004A501B">
        <w:t>Commissioner</w:t>
      </w:r>
      <w:r w:rsidR="002B640C" w:rsidRPr="004A501B">
        <w:t xml:space="preserve"> will ensure that</w:t>
      </w:r>
      <w:r w:rsidRPr="004A501B">
        <w:t xml:space="preserve"> auditors, and those charged with regulatory review, have access to all information and papers supporting the activities of the treasury management function as are necessary for the proper fulfilment of their roles, and that such information and papers demonstrate compliance with external and internal policies and approved practices.  </w:t>
      </w:r>
    </w:p>
    <w:p w14:paraId="0C985479" w14:textId="4F86D87F" w:rsidR="00770E1C" w:rsidRPr="004A501B" w:rsidRDefault="00770E1C" w:rsidP="002D5343">
      <w:r w:rsidRPr="004A501B">
        <w:t xml:space="preserve">Treasury Management procedures and processes will be audited in accordance with the internal audit risk based audit </w:t>
      </w:r>
      <w:proofErr w:type="spellStart"/>
      <w:proofErr w:type="gramStart"/>
      <w:r w:rsidRPr="004A501B">
        <w:t>strategy.Auditors</w:t>
      </w:r>
      <w:proofErr w:type="spellEnd"/>
      <w:proofErr w:type="gramEnd"/>
      <w:r w:rsidRPr="004A501B">
        <w:t xml:space="preserve"> will as part of their responsibilities in auditing the Statement of Accounts, obtain independent verification from counterparties of investments held by the </w:t>
      </w:r>
      <w:r w:rsidR="00657EFA" w:rsidRPr="004A501B">
        <w:t>Commissioner</w:t>
      </w:r>
      <w:r w:rsidRPr="004A501B">
        <w:t>.</w:t>
      </w:r>
    </w:p>
    <w:p w14:paraId="4AED67D2" w14:textId="77777777" w:rsidR="00770E1C" w:rsidRPr="004A501B" w:rsidRDefault="00770E1C" w:rsidP="002D5343"/>
    <w:p w14:paraId="10B4B02B" w14:textId="77777777" w:rsidR="00770E1C" w:rsidRPr="00FE36A8" w:rsidRDefault="00770E1C" w:rsidP="002D5343">
      <w:pPr>
        <w:rPr>
          <w:b/>
          <w:bCs/>
        </w:rPr>
      </w:pPr>
      <w:r w:rsidRPr="00FE36A8">
        <w:rPr>
          <w:b/>
          <w:bCs/>
        </w:rPr>
        <w:t>TMP</w:t>
      </w:r>
      <w:proofErr w:type="gramStart"/>
      <w:r w:rsidRPr="00FE36A8">
        <w:rPr>
          <w:b/>
          <w:bCs/>
        </w:rPr>
        <w:t>8  Cash</w:t>
      </w:r>
      <w:proofErr w:type="gramEnd"/>
      <w:r w:rsidRPr="00FE36A8">
        <w:rPr>
          <w:b/>
          <w:bCs/>
        </w:rPr>
        <w:t xml:space="preserve"> and Cash Flow Management</w:t>
      </w:r>
    </w:p>
    <w:p w14:paraId="7ED72308" w14:textId="684343F0" w:rsidR="00770E1C" w:rsidRPr="004A501B" w:rsidRDefault="00770E1C" w:rsidP="002D5343">
      <w:r w:rsidRPr="004A501B">
        <w:t xml:space="preserve">Unless statutory or regulatory requirements demand otherwise, all monies in the hand of Dyfed Powys will be under the control of the </w:t>
      </w:r>
      <w:proofErr w:type="gramStart"/>
      <w:r w:rsidR="00657EFA" w:rsidRPr="004A501B">
        <w:t>Commissioner</w:t>
      </w:r>
      <w:r w:rsidRPr="004A501B">
        <w:t>, and</w:t>
      </w:r>
      <w:proofErr w:type="gramEnd"/>
      <w:r w:rsidRPr="004A501B">
        <w:t xml:space="preserve"> will be aggregated for cash flow and investment management purposes. Cash flow projections will be prepared on a regular basis, and the </w:t>
      </w:r>
      <w:r w:rsidR="006B0C6E" w:rsidRPr="004A501B">
        <w:t>CFO</w:t>
      </w:r>
      <w:r w:rsidR="002B640C" w:rsidRPr="004A501B">
        <w:t xml:space="preserve"> and </w:t>
      </w:r>
      <w:r w:rsidR="006B0C6E" w:rsidRPr="004A501B">
        <w:t>DOF</w:t>
      </w:r>
      <w:r w:rsidRPr="004A501B">
        <w:t xml:space="preserve"> will ensure that these are adequate for the purposes of monitoring compliance with TMP1 </w:t>
      </w:r>
      <w:r w:rsidRPr="004A501B">
        <w:rPr>
          <w:i/>
        </w:rPr>
        <w:t>Liquidity Risk Management.</w:t>
      </w:r>
      <w:r w:rsidRPr="004A501B">
        <w:t xml:space="preserve"> </w:t>
      </w:r>
    </w:p>
    <w:p w14:paraId="1117822B" w14:textId="6F58A7A2" w:rsidR="00770E1C" w:rsidRPr="0065623A" w:rsidRDefault="00770E1C" w:rsidP="0054185E">
      <w:pPr>
        <w:spacing w:before="0" w:after="0" w:line="240" w:lineRule="auto"/>
        <w:rPr>
          <w:b/>
          <w:bCs/>
        </w:rPr>
      </w:pPr>
      <w:r w:rsidRPr="0065623A">
        <w:rPr>
          <w:b/>
          <w:bCs/>
        </w:rPr>
        <w:lastRenderedPageBreak/>
        <w:t>TMP</w:t>
      </w:r>
      <w:proofErr w:type="gramStart"/>
      <w:r w:rsidRPr="0065623A">
        <w:rPr>
          <w:b/>
          <w:bCs/>
        </w:rPr>
        <w:t>9  Money</w:t>
      </w:r>
      <w:proofErr w:type="gramEnd"/>
      <w:r w:rsidRPr="0065623A">
        <w:rPr>
          <w:b/>
          <w:bCs/>
        </w:rPr>
        <w:t xml:space="preserve"> laundering</w:t>
      </w:r>
    </w:p>
    <w:p w14:paraId="5D058D68" w14:textId="77777777" w:rsidR="0054185E" w:rsidRDefault="0054185E" w:rsidP="002D5343"/>
    <w:p w14:paraId="4DE972CD" w14:textId="3EFF2399" w:rsidR="00770E1C" w:rsidRPr="004A501B" w:rsidRDefault="002B640C" w:rsidP="002D5343">
      <w:r w:rsidRPr="004A501B">
        <w:t>The Commissioner</w:t>
      </w:r>
      <w:r w:rsidR="00770E1C" w:rsidRPr="004A501B">
        <w:t xml:space="preserve"> is alert to the possibility </w:t>
      </w:r>
      <w:r w:rsidRPr="004A501B">
        <w:t>of becoming</w:t>
      </w:r>
      <w:r w:rsidR="00770E1C" w:rsidRPr="004A501B">
        <w:t xml:space="preserve"> the subject of an attempt to involve it in a transaction involving the laundering of money</w:t>
      </w:r>
      <w:r w:rsidRPr="004A501B">
        <w:t xml:space="preserve">. Accordingly, </w:t>
      </w:r>
      <w:r w:rsidR="00770E1C" w:rsidRPr="004A501B">
        <w:t xml:space="preserve">procedures for verifying and recording the identity of </w:t>
      </w:r>
      <w:proofErr w:type="gramStart"/>
      <w:r w:rsidR="00770E1C" w:rsidRPr="004A501B">
        <w:t>counter-parties</w:t>
      </w:r>
      <w:proofErr w:type="gramEnd"/>
      <w:r w:rsidR="00770E1C" w:rsidRPr="004A501B">
        <w:t xml:space="preserve"> and reporting suspicions</w:t>
      </w:r>
      <w:r w:rsidRPr="004A501B">
        <w:t xml:space="preserve"> will be maintained and </w:t>
      </w:r>
      <w:r w:rsidR="00770E1C" w:rsidRPr="004A501B">
        <w:t xml:space="preserve">staff involved in this </w:t>
      </w:r>
      <w:r w:rsidRPr="004A501B">
        <w:t>will be</w:t>
      </w:r>
      <w:r w:rsidR="00770E1C" w:rsidRPr="004A501B">
        <w:t xml:space="preserve"> fully trained. </w:t>
      </w:r>
    </w:p>
    <w:p w14:paraId="0FE611BF" w14:textId="28114D8A" w:rsidR="00770E1C" w:rsidRPr="004A501B" w:rsidRDefault="00770E1C" w:rsidP="002D5343">
      <w:r w:rsidRPr="004A501B">
        <w:t xml:space="preserve">Only counterparties approved by the Treasury Management consultants will be utilised. Terms and conditions are agreed between the counterparty and the </w:t>
      </w:r>
      <w:r w:rsidR="00657EFA" w:rsidRPr="004A501B">
        <w:t>Commissioner</w:t>
      </w:r>
      <w:r w:rsidRPr="004A501B">
        <w:t xml:space="preserve"> prior to the transfer of funds.</w:t>
      </w:r>
    </w:p>
    <w:p w14:paraId="084375C0" w14:textId="77777777" w:rsidR="00770E1C" w:rsidRPr="004A501B" w:rsidRDefault="00770E1C" w:rsidP="002D5343">
      <w:r w:rsidRPr="004A501B">
        <w:t xml:space="preserve">The Proceeds of Crime Act 2020 (POCA) and the related Money Laundering Regulations 2007 have also extended the Wales Audit Office auditors responsibilities. The Auditor General and his staff and contractors are required to report to the Serious and Organised Crime Agency (SOCA) where they suspect, </w:t>
      </w:r>
      <w:proofErr w:type="gramStart"/>
      <w:r w:rsidRPr="004A501B">
        <w:t>as a result of</w:t>
      </w:r>
      <w:proofErr w:type="gramEnd"/>
      <w:r w:rsidRPr="004A501B">
        <w:t xml:space="preserve"> information gained during the course of their work, that there may have been criminal acts that involve financial gain.</w:t>
      </w:r>
    </w:p>
    <w:p w14:paraId="1F09046B" w14:textId="3FFC04D9" w:rsidR="00770E1C" w:rsidRPr="004A501B" w:rsidRDefault="00770E1C" w:rsidP="002D5343">
      <w:r w:rsidRPr="004A501B">
        <w:t xml:space="preserve">If any staff involved in Treasury Management have suspicions of money </w:t>
      </w:r>
      <w:proofErr w:type="gramStart"/>
      <w:r w:rsidRPr="004A501B">
        <w:t>laundering</w:t>
      </w:r>
      <w:proofErr w:type="gramEnd"/>
      <w:r w:rsidRPr="004A501B">
        <w:t xml:space="preserve"> then this should be brought to the attention of the </w:t>
      </w:r>
      <w:r w:rsidR="006B0C6E" w:rsidRPr="004A501B">
        <w:t>CFO</w:t>
      </w:r>
      <w:r w:rsidR="002B640C" w:rsidRPr="004A501B">
        <w:t xml:space="preserve"> and </w:t>
      </w:r>
      <w:r w:rsidR="006B0C6E" w:rsidRPr="004A501B">
        <w:t>DOF</w:t>
      </w:r>
      <w:r w:rsidRPr="004A501B">
        <w:t>.</w:t>
      </w:r>
    </w:p>
    <w:p w14:paraId="3C402A20" w14:textId="77777777" w:rsidR="0065623A" w:rsidRDefault="0065623A" w:rsidP="002D5343">
      <w:pPr>
        <w:rPr>
          <w:b/>
          <w:bCs/>
        </w:rPr>
      </w:pPr>
    </w:p>
    <w:p w14:paraId="2B300A50" w14:textId="7EC08F23" w:rsidR="00770E1C" w:rsidRPr="00FE36A8" w:rsidRDefault="00770E1C" w:rsidP="002D5343">
      <w:pPr>
        <w:rPr>
          <w:b/>
          <w:bCs/>
        </w:rPr>
      </w:pPr>
      <w:r w:rsidRPr="00FE36A8">
        <w:rPr>
          <w:b/>
          <w:bCs/>
        </w:rPr>
        <w:t>TMP</w:t>
      </w:r>
      <w:proofErr w:type="gramStart"/>
      <w:r w:rsidRPr="00FE36A8">
        <w:rPr>
          <w:b/>
          <w:bCs/>
        </w:rPr>
        <w:t>10  Training</w:t>
      </w:r>
      <w:proofErr w:type="gramEnd"/>
      <w:r w:rsidRPr="00FE36A8">
        <w:rPr>
          <w:b/>
          <w:bCs/>
        </w:rPr>
        <w:t xml:space="preserve"> and Qualifications</w:t>
      </w:r>
    </w:p>
    <w:p w14:paraId="2B012D8A" w14:textId="77777777" w:rsidR="00A01D3D" w:rsidRPr="0011422F" w:rsidRDefault="00A01D3D" w:rsidP="00A01D3D">
      <w:pPr>
        <w:rPr>
          <w:rFonts w:eastAsia="Times New Roman" w:cs="Times New Roman"/>
          <w:spacing w:val="-5"/>
          <w:szCs w:val="20"/>
        </w:rPr>
      </w:pPr>
      <w:r>
        <w:t xml:space="preserve">The revised Code requires </w:t>
      </w:r>
      <w:r>
        <w:rPr>
          <w:rFonts w:eastAsia="Times New Roman" w:cs="Times New Roman"/>
          <w:spacing w:val="-5"/>
          <w:szCs w:val="20"/>
        </w:rPr>
        <w:t>for the</w:t>
      </w:r>
      <w:r w:rsidRPr="0011422F">
        <w:rPr>
          <w:rFonts w:eastAsia="Times New Roman" w:cs="Times New Roman"/>
          <w:spacing w:val="-5"/>
          <w:szCs w:val="20"/>
        </w:rPr>
        <w:t xml:space="preserve"> knowledge and skills </w:t>
      </w:r>
      <w:r w:rsidRPr="0011422F">
        <w:rPr>
          <w:rFonts w:eastAsia="Times New Roman" w:cs="Times New Roman"/>
          <w:spacing w:val="-5"/>
          <w:szCs w:val="20"/>
        </w:rPr>
        <w:t>of</w:t>
      </w:r>
      <w:r w:rsidRPr="0011422F">
        <w:rPr>
          <w:rFonts w:eastAsia="Times New Roman" w:cs="Times New Roman"/>
          <w:spacing w:val="-5"/>
          <w:szCs w:val="20"/>
        </w:rPr>
        <w:t xml:space="preserve"> officers and members involved in the treasury management function to be proportionate to the size and complexity of the treasury management conducted by each authority</w:t>
      </w:r>
      <w:r w:rsidRPr="0011422F">
        <w:rPr>
          <w:rFonts w:eastAsia="Times New Roman" w:cs="Times New Roman"/>
          <w:spacing w:val="-5"/>
          <w:szCs w:val="20"/>
        </w:rPr>
        <w:t>.  A register of training is also to be maintained.</w:t>
      </w:r>
    </w:p>
    <w:p w14:paraId="6D08583B" w14:textId="0665550C" w:rsidR="00770E1C" w:rsidRPr="004A501B" w:rsidRDefault="00D36283" w:rsidP="002D5343">
      <w:r>
        <w:t>The CFO and DOF recognise</w:t>
      </w:r>
      <w:r w:rsidR="00770E1C" w:rsidRPr="004A501B">
        <w:t xml:space="preserve"> the importance of ensuring that all staff involved in the treasury management function are fully equipped to undertake the duties and responsibilities allocated to them. The </w:t>
      </w:r>
      <w:r>
        <w:t>DOF</w:t>
      </w:r>
      <w:r w:rsidR="00770E1C" w:rsidRPr="004A501B">
        <w:t xml:space="preserve"> will therefore seek to appoint individuals who are both capable and experienced and will provide training for staff to enable them to acquire and maintain an appropriate level of expertise, </w:t>
      </w:r>
      <w:proofErr w:type="gramStart"/>
      <w:r w:rsidR="00770E1C" w:rsidRPr="004A501B">
        <w:t>knowledge</w:t>
      </w:r>
      <w:proofErr w:type="gramEnd"/>
      <w:r w:rsidR="00770E1C" w:rsidRPr="004A501B">
        <w:t xml:space="preserve"> and skills. The </w:t>
      </w:r>
      <w:r w:rsidR="006B0C6E" w:rsidRPr="004A501B">
        <w:t>CFO</w:t>
      </w:r>
      <w:r w:rsidR="00770E1C" w:rsidRPr="004A501B">
        <w:t xml:space="preserve"> </w:t>
      </w:r>
      <w:r>
        <w:t xml:space="preserve">and DOF </w:t>
      </w:r>
      <w:r w:rsidR="00770E1C" w:rsidRPr="004A501B">
        <w:t>will recommend and implement the necessary arrangements.</w:t>
      </w:r>
    </w:p>
    <w:p w14:paraId="742DBFF9" w14:textId="0517D3B6" w:rsidR="00770E1C" w:rsidRPr="004A501B" w:rsidRDefault="00770E1C" w:rsidP="002D5343">
      <w:r w:rsidRPr="004A501B">
        <w:t xml:space="preserve">The </w:t>
      </w:r>
      <w:r w:rsidR="006B0C6E" w:rsidRPr="004A501B">
        <w:t>CFO</w:t>
      </w:r>
      <w:r w:rsidRPr="004A501B">
        <w:t xml:space="preserve"> </w:t>
      </w:r>
      <w:r w:rsidR="00D36283">
        <w:t>and DOF</w:t>
      </w:r>
      <w:r w:rsidR="004745CD">
        <w:t xml:space="preserve"> </w:t>
      </w:r>
      <w:r w:rsidRPr="004A501B">
        <w:t xml:space="preserve">will ensure that all staff tasked with treasury management responsibilities, including those </w:t>
      </w:r>
      <w:r w:rsidR="00A01D3D">
        <w:t>charged with governance, and those responsible for scrut</w:t>
      </w:r>
      <w:r w:rsidRPr="004A501B">
        <w:t>iny, have access to training relevant to their needs and those responsibilities</w:t>
      </w:r>
      <w:r w:rsidR="00A01D3D">
        <w:t xml:space="preserve"> </w:t>
      </w:r>
      <w:r w:rsidR="00A01D3D" w:rsidRPr="004A501B">
        <w:t>to ensure that they have the necessary skills to complete their role effectively.</w:t>
      </w:r>
      <w:r w:rsidR="00D533F2">
        <w:t xml:space="preserve"> This is periodically </w:t>
      </w:r>
      <w:proofErr w:type="gramStart"/>
      <w:r w:rsidR="00D533F2">
        <w:t>reviewed</w:t>
      </w:r>
      <w:proofErr w:type="gramEnd"/>
      <w:r w:rsidR="00D533F2">
        <w:t xml:space="preserve"> and staff are encouraged to highlight any training needs on an ongoing basis.</w:t>
      </w:r>
    </w:p>
    <w:p w14:paraId="723E3785" w14:textId="4D0F1297" w:rsidR="00770E1C" w:rsidRDefault="00770E1C" w:rsidP="002D5343">
      <w:r w:rsidRPr="004A501B">
        <w:t xml:space="preserve">Staff who undertake Treasury management duties attend relevant training events provided by </w:t>
      </w:r>
      <w:r w:rsidR="002F0B92">
        <w:t xml:space="preserve">appointed Treasury Advisors </w:t>
      </w:r>
      <w:r w:rsidRPr="004A501B">
        <w:t>and attend a quarterly strategy meeting. Staff also attend relevant training events that are held by CIPFA.</w:t>
      </w:r>
    </w:p>
    <w:p w14:paraId="43908357" w14:textId="75A72767" w:rsidR="007E4EBB" w:rsidRPr="004A501B" w:rsidRDefault="007E4EBB" w:rsidP="002D5343">
      <w:r>
        <w:t>A formal record of training will be maintained.</w:t>
      </w:r>
    </w:p>
    <w:p w14:paraId="57E4DB0E" w14:textId="55F0770F" w:rsidR="00770E1C" w:rsidRDefault="002F0B92" w:rsidP="002D5343">
      <w:r>
        <w:t>Frequent</w:t>
      </w:r>
      <w:r w:rsidR="00770E1C" w:rsidRPr="004A501B">
        <w:t xml:space="preserve"> bulletin e-mails are sent out by </w:t>
      </w:r>
      <w:r>
        <w:t>treasury advisors</w:t>
      </w:r>
      <w:r w:rsidR="00770E1C" w:rsidRPr="004A501B">
        <w:t xml:space="preserve"> which provide advice on any economic developments and suggested revisions to counterparty limits.</w:t>
      </w:r>
    </w:p>
    <w:p w14:paraId="05145F02" w14:textId="77777777" w:rsidR="007E4EBB" w:rsidRPr="004A501B" w:rsidRDefault="007E4EBB" w:rsidP="002D5343"/>
    <w:p w14:paraId="01B49E1A" w14:textId="77777777" w:rsidR="00770E1C" w:rsidRPr="004A501B" w:rsidRDefault="00770E1C" w:rsidP="002D5343"/>
    <w:p w14:paraId="09220226" w14:textId="48AFBC43" w:rsidR="00770E1C" w:rsidRPr="00FE36A8" w:rsidRDefault="0080793E" w:rsidP="0054185E">
      <w:pPr>
        <w:spacing w:before="0" w:after="0" w:line="240" w:lineRule="auto"/>
        <w:rPr>
          <w:b/>
          <w:bCs/>
        </w:rPr>
      </w:pPr>
      <w:r>
        <w:rPr>
          <w:b/>
          <w:bCs/>
        </w:rPr>
        <w:br w:type="page"/>
      </w:r>
      <w:r w:rsidR="00770E1C" w:rsidRPr="00FE36A8">
        <w:rPr>
          <w:b/>
          <w:bCs/>
        </w:rPr>
        <w:lastRenderedPageBreak/>
        <w:t>TMP</w:t>
      </w:r>
      <w:proofErr w:type="gramStart"/>
      <w:r w:rsidR="00770E1C" w:rsidRPr="00FE36A8">
        <w:rPr>
          <w:b/>
          <w:bCs/>
        </w:rPr>
        <w:t>11  Use</w:t>
      </w:r>
      <w:proofErr w:type="gramEnd"/>
      <w:r w:rsidR="00770E1C" w:rsidRPr="00FE36A8">
        <w:rPr>
          <w:b/>
          <w:bCs/>
        </w:rPr>
        <w:t xml:space="preserve"> of External Service Providers</w:t>
      </w:r>
    </w:p>
    <w:p w14:paraId="78B90FD8" w14:textId="18D63AAD" w:rsidR="00770E1C" w:rsidRPr="004A501B" w:rsidRDefault="006B0C6E" w:rsidP="002D5343">
      <w:r w:rsidRPr="004A501B">
        <w:t>The CFO and DOF</w:t>
      </w:r>
      <w:r w:rsidR="00770E1C" w:rsidRPr="004A501B">
        <w:t xml:space="preserve"> recognises that responsibility for treasury management decisions </w:t>
      </w:r>
      <w:proofErr w:type="gramStart"/>
      <w:r w:rsidR="00770E1C" w:rsidRPr="004A501B">
        <w:t xml:space="preserve">remains with the </w:t>
      </w:r>
      <w:r w:rsidR="00657EFA" w:rsidRPr="004A501B">
        <w:t>Commissioner</w:t>
      </w:r>
      <w:r w:rsidR="00770E1C" w:rsidRPr="004A501B">
        <w:t xml:space="preserve"> at all times</w:t>
      </w:r>
      <w:proofErr w:type="gramEnd"/>
      <w:r w:rsidR="00770E1C" w:rsidRPr="004A501B">
        <w:t xml:space="preserve">. </w:t>
      </w:r>
      <w:r w:rsidRPr="004A501B">
        <w:t>The Commissioner</w:t>
      </w:r>
      <w:r w:rsidR="00770E1C" w:rsidRPr="004A501B">
        <w:t xml:space="preserve"> recognises the potential value of employing external providers of treasury management services, </w:t>
      </w:r>
      <w:proofErr w:type="gramStart"/>
      <w:r w:rsidR="00770E1C" w:rsidRPr="004A501B">
        <w:t>in order to</w:t>
      </w:r>
      <w:proofErr w:type="gramEnd"/>
      <w:r w:rsidR="00770E1C" w:rsidRPr="004A501B">
        <w:t xml:space="preserve"> acquire access to specialist skills and resources.  When it employs such service providers, it will ensure it does so for reasons which will have been submitted to a full evaluation of the costs and benefits.  It will also ensure that the terms of their appointment and the methods by which their value will be assessed are properly agreed and documented, and subject to regular review.  And it will ensure, where feasible and necessary, that a spread of service providers is used, to avoid over reliance on one or a small number of companies.   Where services are subject to formal tender or re-tender arrangements, legislative requirements will always be observed.  The monitoring of such arrangements rests with the </w:t>
      </w:r>
      <w:r w:rsidRPr="004A501B">
        <w:t>CFO</w:t>
      </w:r>
      <w:r w:rsidR="00770E1C" w:rsidRPr="004A501B">
        <w:t>.</w:t>
      </w:r>
    </w:p>
    <w:p w14:paraId="6EA1D076" w14:textId="10506876" w:rsidR="00770E1C" w:rsidRPr="004A501B" w:rsidRDefault="00770E1C" w:rsidP="002D5343">
      <w:r w:rsidRPr="004A501B">
        <w:t xml:space="preserve">Dyfed Powys has a contract with </w:t>
      </w:r>
      <w:r w:rsidR="006B0C6E" w:rsidRPr="004A501B">
        <w:t>external Treasury Management Advisors</w:t>
      </w:r>
      <w:r w:rsidRPr="004A501B">
        <w:t xml:space="preserve"> for the provision of advice/assistance as follows:</w:t>
      </w:r>
    </w:p>
    <w:p w14:paraId="50C72B4A" w14:textId="77777777" w:rsidR="00770E1C" w:rsidRPr="004A501B" w:rsidRDefault="00770E1C" w:rsidP="002D5343">
      <w:pPr>
        <w:pStyle w:val="ListParagraph"/>
        <w:numPr>
          <w:ilvl w:val="0"/>
          <w:numId w:val="15"/>
        </w:numPr>
      </w:pPr>
      <w:r w:rsidRPr="004A501B">
        <w:t>Strategic advice</w:t>
      </w:r>
    </w:p>
    <w:p w14:paraId="03D4896F" w14:textId="77777777" w:rsidR="00770E1C" w:rsidRPr="004A501B" w:rsidRDefault="00770E1C" w:rsidP="002D5343">
      <w:pPr>
        <w:pStyle w:val="ListParagraph"/>
        <w:numPr>
          <w:ilvl w:val="0"/>
          <w:numId w:val="15"/>
        </w:numPr>
      </w:pPr>
      <w:r w:rsidRPr="004A501B">
        <w:t>Capital finance advice</w:t>
      </w:r>
    </w:p>
    <w:p w14:paraId="0BA908BF" w14:textId="77777777" w:rsidR="00770E1C" w:rsidRPr="004A501B" w:rsidRDefault="00770E1C" w:rsidP="002D5343">
      <w:pPr>
        <w:pStyle w:val="ListParagraph"/>
        <w:numPr>
          <w:ilvl w:val="0"/>
          <w:numId w:val="15"/>
        </w:numPr>
      </w:pPr>
      <w:r w:rsidRPr="004A501B">
        <w:t>Treasury Management Policy and Strategy</w:t>
      </w:r>
    </w:p>
    <w:p w14:paraId="6EC13B4F" w14:textId="77777777" w:rsidR="00770E1C" w:rsidRPr="004A501B" w:rsidRDefault="00770E1C" w:rsidP="002D5343">
      <w:pPr>
        <w:pStyle w:val="ListParagraph"/>
        <w:numPr>
          <w:ilvl w:val="0"/>
          <w:numId w:val="15"/>
        </w:numPr>
      </w:pPr>
      <w:r w:rsidRPr="004A501B">
        <w:t>Interest Rate Forecasting and Economic Advice</w:t>
      </w:r>
    </w:p>
    <w:p w14:paraId="060D412F" w14:textId="77777777" w:rsidR="00770E1C" w:rsidRPr="004A501B" w:rsidRDefault="00770E1C" w:rsidP="002D5343">
      <w:pPr>
        <w:pStyle w:val="ListParagraph"/>
        <w:numPr>
          <w:ilvl w:val="0"/>
          <w:numId w:val="15"/>
        </w:numPr>
      </w:pPr>
      <w:r w:rsidRPr="004A501B">
        <w:t>Investment Policy Advice</w:t>
      </w:r>
    </w:p>
    <w:p w14:paraId="458A68BD" w14:textId="77777777" w:rsidR="00770E1C" w:rsidRPr="004A501B" w:rsidRDefault="00770E1C" w:rsidP="002D5343">
      <w:pPr>
        <w:pStyle w:val="ListParagraph"/>
        <w:numPr>
          <w:ilvl w:val="0"/>
          <w:numId w:val="15"/>
        </w:numPr>
      </w:pPr>
      <w:r w:rsidRPr="004A501B">
        <w:t>Debt Advice</w:t>
      </w:r>
    </w:p>
    <w:p w14:paraId="69E0EB22" w14:textId="77777777" w:rsidR="00770E1C" w:rsidRPr="004A501B" w:rsidRDefault="00770E1C" w:rsidP="002D5343">
      <w:pPr>
        <w:pStyle w:val="ListParagraph"/>
        <w:numPr>
          <w:ilvl w:val="0"/>
          <w:numId w:val="15"/>
        </w:numPr>
      </w:pPr>
      <w:r w:rsidRPr="004A501B">
        <w:t>Counterparty Assistance</w:t>
      </w:r>
    </w:p>
    <w:p w14:paraId="74A95456" w14:textId="77777777" w:rsidR="00770E1C" w:rsidRPr="004A501B" w:rsidRDefault="00770E1C" w:rsidP="002D5343">
      <w:pPr>
        <w:pStyle w:val="ListParagraph"/>
        <w:numPr>
          <w:ilvl w:val="0"/>
          <w:numId w:val="15"/>
        </w:numPr>
      </w:pPr>
      <w:r w:rsidRPr="004A501B">
        <w:t>Seminars and training</w:t>
      </w:r>
    </w:p>
    <w:p w14:paraId="1F15510B" w14:textId="77777777" w:rsidR="00770E1C" w:rsidRPr="004A501B" w:rsidRDefault="00770E1C" w:rsidP="002D5343">
      <w:pPr>
        <w:pStyle w:val="ListParagraph"/>
        <w:numPr>
          <w:ilvl w:val="0"/>
          <w:numId w:val="15"/>
        </w:numPr>
      </w:pPr>
      <w:r w:rsidRPr="004A501B">
        <w:t>Website and client meetings.</w:t>
      </w:r>
    </w:p>
    <w:p w14:paraId="26D24213" w14:textId="77777777" w:rsidR="00770E1C" w:rsidRPr="00FE36A8" w:rsidRDefault="00770E1C" w:rsidP="002D5343">
      <w:pPr>
        <w:rPr>
          <w:b/>
          <w:bCs/>
        </w:rPr>
      </w:pPr>
      <w:r w:rsidRPr="00FE36A8">
        <w:rPr>
          <w:b/>
          <w:bCs/>
        </w:rPr>
        <w:t>TMP</w:t>
      </w:r>
      <w:proofErr w:type="gramStart"/>
      <w:r w:rsidRPr="00FE36A8">
        <w:rPr>
          <w:b/>
          <w:bCs/>
        </w:rPr>
        <w:t>12  Corporate</w:t>
      </w:r>
      <w:proofErr w:type="gramEnd"/>
      <w:r w:rsidRPr="00FE36A8">
        <w:rPr>
          <w:b/>
          <w:bCs/>
        </w:rPr>
        <w:t xml:space="preserve"> Governance</w:t>
      </w:r>
    </w:p>
    <w:p w14:paraId="6B3DA432" w14:textId="0BDEB928" w:rsidR="00770E1C" w:rsidRPr="004A501B" w:rsidRDefault="006B0C6E" w:rsidP="002D5343">
      <w:r w:rsidRPr="004A501B">
        <w:t>The Commissioner</w:t>
      </w:r>
      <w:r w:rsidR="00770E1C" w:rsidRPr="004A501B">
        <w:t xml:space="preserve"> has adopted and implemented the key recommendations of the CIPFA Code of Practice.  This is considered vital to the achievement of proper corporate governance in treasury management, and the </w:t>
      </w:r>
      <w:r w:rsidRPr="004A501B">
        <w:t>CFO</w:t>
      </w:r>
      <w:r w:rsidR="00770E1C" w:rsidRPr="004A501B">
        <w:t xml:space="preserve"> and </w:t>
      </w:r>
      <w:r w:rsidRPr="004A501B">
        <w:t>DOF</w:t>
      </w:r>
      <w:r w:rsidR="00770E1C" w:rsidRPr="004A501B">
        <w:t xml:space="preserve"> will monitor and, </w:t>
      </w:r>
      <w:proofErr w:type="gramStart"/>
      <w:r w:rsidR="00770E1C" w:rsidRPr="004A501B">
        <w:t>if and when</w:t>
      </w:r>
      <w:proofErr w:type="gramEnd"/>
      <w:r w:rsidR="00770E1C" w:rsidRPr="004A501B">
        <w:t xml:space="preserve"> necessary, report upon the effectiveness of these arrangements.</w:t>
      </w:r>
    </w:p>
    <w:p w14:paraId="36D11570" w14:textId="77777777" w:rsidR="00770E1C" w:rsidRPr="004A501B" w:rsidRDefault="00770E1C" w:rsidP="002D5343">
      <w:r w:rsidRPr="004A501B">
        <w:t>The Code recommends that public service organisations state their commitment to embracing the principles of corporate governance in their Treasury Management activities, notably openness and transparency.</w:t>
      </w:r>
    </w:p>
    <w:p w14:paraId="0E304C85" w14:textId="0ECFF915" w:rsidR="00770E1C" w:rsidRPr="004A501B" w:rsidRDefault="006B0C6E" w:rsidP="002D5343">
      <w:r w:rsidRPr="004A501B">
        <w:t>The Commissioner</w:t>
      </w:r>
      <w:r w:rsidR="00770E1C" w:rsidRPr="004A501B">
        <w:t xml:space="preserve"> is committed to the pursuit of proper corporate governance throughout its businesses and services, and to establishing the principles and practices by which this can be achieved. Therefore, the treasury management function and its activities will be undertaken with openness and transparency, honesty, </w:t>
      </w:r>
      <w:proofErr w:type="gramStart"/>
      <w:r w:rsidR="00770E1C" w:rsidRPr="004A501B">
        <w:t>integrity</w:t>
      </w:r>
      <w:proofErr w:type="gramEnd"/>
      <w:r w:rsidR="00770E1C" w:rsidRPr="004A501B">
        <w:t xml:space="preserve"> and accountability reflected in </w:t>
      </w:r>
      <w:r w:rsidRPr="004A501B">
        <w:t>the Joint</w:t>
      </w:r>
      <w:r w:rsidR="00770E1C" w:rsidRPr="004A501B">
        <w:t xml:space="preserve"> Corporate Governance Framework and Financial Control Procedures.</w:t>
      </w:r>
    </w:p>
    <w:p w14:paraId="6DF45431" w14:textId="77777777" w:rsidR="00770E1C" w:rsidRPr="004A501B" w:rsidRDefault="00770E1C" w:rsidP="002D5343">
      <w:r w:rsidRPr="004A501B">
        <w:t>The organisation’s Treasury Management policies and practices will be published on the internet.</w:t>
      </w:r>
    </w:p>
    <w:p w14:paraId="7C9963A5" w14:textId="1B765362" w:rsidR="00770E1C" w:rsidRPr="000571F9" w:rsidRDefault="00770E1C" w:rsidP="00D50313">
      <w:pPr>
        <w:pStyle w:val="Heading2"/>
      </w:pPr>
      <w:r w:rsidRPr="004A501B">
        <w:br w:type="page"/>
      </w:r>
      <w:r w:rsidRPr="000571F9">
        <w:lastRenderedPageBreak/>
        <w:t xml:space="preserve">Appendix </w:t>
      </w:r>
      <w:r w:rsidR="00D50313" w:rsidRPr="000571F9">
        <w:t>D</w:t>
      </w:r>
      <w:r w:rsidRPr="000571F9">
        <w:t xml:space="preserve"> Prudential Indicators and MRP Statement 20</w:t>
      </w:r>
      <w:r w:rsidR="00F34E34" w:rsidRPr="000571F9">
        <w:t>2</w:t>
      </w:r>
      <w:r w:rsidR="005F66E3" w:rsidRPr="000571F9">
        <w:t>3</w:t>
      </w:r>
      <w:r w:rsidRPr="000571F9">
        <w:t>/</w:t>
      </w:r>
      <w:r w:rsidR="00F34E34" w:rsidRPr="000571F9">
        <w:t>2</w:t>
      </w:r>
      <w:r w:rsidR="005F66E3" w:rsidRPr="000571F9">
        <w:t>4</w:t>
      </w:r>
    </w:p>
    <w:p w14:paraId="2390B32B" w14:textId="1B6E48D9" w:rsidR="00770E1C" w:rsidRPr="000571F9" w:rsidRDefault="00770E1C" w:rsidP="002D5343">
      <w:r w:rsidRPr="000571F9">
        <w:t xml:space="preserve">The </w:t>
      </w:r>
      <w:r w:rsidRPr="000571F9">
        <w:rPr>
          <w:bCs/>
        </w:rPr>
        <w:t xml:space="preserve">Local Government Act 2003 </w:t>
      </w:r>
      <w:r w:rsidRPr="000571F9">
        <w:t xml:space="preserve">requires the </w:t>
      </w:r>
      <w:r w:rsidR="00657EFA" w:rsidRPr="000571F9">
        <w:t>Commissioner</w:t>
      </w:r>
      <w:r w:rsidRPr="000571F9">
        <w:t xml:space="preserve"> to have regard to the Chartered Institute of Public Finance and Accountancy’s </w:t>
      </w:r>
      <w:r w:rsidRPr="000571F9">
        <w:rPr>
          <w:i/>
        </w:rPr>
        <w:t>Prudential Code for Capital Finance in Local Authorities</w:t>
      </w:r>
      <w:r w:rsidRPr="000571F9">
        <w:t xml:space="preserve"> (the Prudential Code) when determining how much money it can afford to borrow. The objectives of the Prudential Code are to ensure, within a clear framework, that the capital investment plans of local authorities are affordable, </w:t>
      </w:r>
      <w:proofErr w:type="gramStart"/>
      <w:r w:rsidRPr="000571F9">
        <w:t>prudent</w:t>
      </w:r>
      <w:proofErr w:type="gramEnd"/>
      <w:r w:rsidRPr="000571F9">
        <w:t xml:space="preserve"> and sustainable, and that treasury management decisions are taken in accordance with good professional practice. To demonstrate that the </w:t>
      </w:r>
      <w:r w:rsidR="00657EFA" w:rsidRPr="000571F9">
        <w:t>Commissioner</w:t>
      </w:r>
      <w:r w:rsidRPr="000571F9">
        <w:t xml:space="preserve"> has fulfilled these objectives, the Prudential Code sets out the following indicators that must be set and monitored each year.</w:t>
      </w:r>
    </w:p>
    <w:p w14:paraId="013646C7" w14:textId="4BCC841F" w:rsidR="00770E1C" w:rsidRPr="000571F9" w:rsidRDefault="00770E1C" w:rsidP="00FE36A8">
      <w:pPr>
        <w:rPr>
          <w:b/>
          <w:bCs/>
        </w:rPr>
      </w:pPr>
      <w:r w:rsidRPr="000571F9">
        <w:rPr>
          <w:b/>
          <w:bCs/>
        </w:rPr>
        <w:t>Estimates of Capital Expenditure</w:t>
      </w:r>
    </w:p>
    <w:p w14:paraId="1A45DEB7" w14:textId="6206D528" w:rsidR="00770E1C" w:rsidRPr="000571F9" w:rsidRDefault="00770E1C" w:rsidP="002D5343">
      <w:r w:rsidRPr="000571F9">
        <w:t xml:space="preserve">The </w:t>
      </w:r>
      <w:r w:rsidR="00657EFA" w:rsidRPr="000571F9">
        <w:t>Commissioner</w:t>
      </w:r>
      <w:r w:rsidRPr="000571F9">
        <w:t>’s planned capital expenditure and financing may be summarised as follows.</w:t>
      </w:r>
    </w:p>
    <w:p w14:paraId="578D6ABE" w14:textId="33E96914" w:rsidR="00546967" w:rsidRPr="00B668A0" w:rsidRDefault="00546967" w:rsidP="002D5343">
      <w:pPr>
        <w:rPr>
          <w:highlight w:val="green"/>
        </w:rPr>
      </w:pPr>
    </w:p>
    <w:tbl>
      <w:tblPr>
        <w:tblStyle w:val="GridTable4-Accent1"/>
        <w:tblW w:w="8647" w:type="dxa"/>
        <w:tblInd w:w="-5" w:type="dxa"/>
        <w:tblLook w:val="04A0" w:firstRow="1" w:lastRow="0" w:firstColumn="1" w:lastColumn="0" w:noHBand="0" w:noVBand="1"/>
      </w:tblPr>
      <w:tblGrid>
        <w:gridCol w:w="2975"/>
        <w:gridCol w:w="1091"/>
        <w:gridCol w:w="1134"/>
        <w:gridCol w:w="1179"/>
        <w:gridCol w:w="1134"/>
        <w:gridCol w:w="1134"/>
      </w:tblGrid>
      <w:tr w:rsidR="00CD2424" w:rsidRPr="000571F9" w14:paraId="70569461" w14:textId="77777777" w:rsidTr="00CD242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5" w:type="dxa"/>
            <w:vAlign w:val="center"/>
            <w:hideMark/>
          </w:tcPr>
          <w:p w14:paraId="1CEE90D5" w14:textId="77777777" w:rsidR="00CD2424" w:rsidRPr="000571F9" w:rsidRDefault="00CD2424" w:rsidP="00CD2424">
            <w:pPr>
              <w:rPr>
                <w:b w:val="0"/>
                <w:bCs w:val="0"/>
                <w:sz w:val="20"/>
                <w:szCs w:val="20"/>
              </w:rPr>
            </w:pPr>
            <w:r w:rsidRPr="000571F9">
              <w:rPr>
                <w:sz w:val="20"/>
                <w:szCs w:val="20"/>
              </w:rPr>
              <w:t xml:space="preserve">Capital Expenditure and Financing </w:t>
            </w:r>
          </w:p>
          <w:p w14:paraId="0736FD18" w14:textId="77777777" w:rsidR="00CD2424" w:rsidRPr="000571F9" w:rsidRDefault="00CD2424" w:rsidP="00CD2424">
            <w:pPr>
              <w:rPr>
                <w:sz w:val="20"/>
                <w:szCs w:val="20"/>
              </w:rPr>
            </w:pPr>
          </w:p>
        </w:tc>
        <w:tc>
          <w:tcPr>
            <w:tcW w:w="1091" w:type="dxa"/>
          </w:tcPr>
          <w:p w14:paraId="639840A8" w14:textId="11CFA0F0" w:rsidR="00CD2424" w:rsidRPr="000571F9" w:rsidRDefault="00CD2424" w:rsidP="00CD242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202</w:t>
            </w:r>
            <w:r w:rsidR="00754413" w:rsidRPr="000571F9">
              <w:rPr>
                <w:sz w:val="20"/>
                <w:szCs w:val="20"/>
              </w:rPr>
              <w:t>1</w:t>
            </w:r>
            <w:r w:rsidRPr="000571F9">
              <w:rPr>
                <w:sz w:val="20"/>
                <w:szCs w:val="20"/>
              </w:rPr>
              <w:t>/2</w:t>
            </w:r>
            <w:r w:rsidR="00754413" w:rsidRPr="000571F9">
              <w:rPr>
                <w:sz w:val="20"/>
                <w:szCs w:val="20"/>
              </w:rPr>
              <w:t>2</w:t>
            </w:r>
            <w:r w:rsidRPr="000571F9">
              <w:rPr>
                <w:sz w:val="20"/>
                <w:szCs w:val="20"/>
              </w:rPr>
              <w:t xml:space="preserve"> Actual</w:t>
            </w:r>
          </w:p>
          <w:p w14:paraId="62F55D0C" w14:textId="77777777" w:rsidR="00CD2424" w:rsidRPr="000571F9" w:rsidRDefault="00CD2424" w:rsidP="00CD2424">
            <w:pPr>
              <w:cnfStyle w:val="100000000000" w:firstRow="1" w:lastRow="0" w:firstColumn="0" w:lastColumn="0" w:oddVBand="0" w:evenVBand="0" w:oddHBand="0" w:evenHBand="0" w:firstRowFirstColumn="0" w:firstRowLastColumn="0" w:lastRowFirstColumn="0" w:lastRowLastColumn="0"/>
              <w:rPr>
                <w:sz w:val="20"/>
                <w:szCs w:val="20"/>
              </w:rPr>
            </w:pPr>
            <w:r w:rsidRPr="000571F9">
              <w:rPr>
                <w:sz w:val="20"/>
                <w:szCs w:val="20"/>
              </w:rPr>
              <w:t>£m</w:t>
            </w:r>
          </w:p>
        </w:tc>
        <w:tc>
          <w:tcPr>
            <w:tcW w:w="1134" w:type="dxa"/>
          </w:tcPr>
          <w:p w14:paraId="79FF8466" w14:textId="5A2AD529" w:rsidR="00CD2424" w:rsidRPr="000571F9" w:rsidRDefault="00CD2424" w:rsidP="00CD242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202</w:t>
            </w:r>
            <w:r w:rsidR="00754413" w:rsidRPr="000571F9">
              <w:rPr>
                <w:sz w:val="20"/>
                <w:szCs w:val="20"/>
              </w:rPr>
              <w:t>2</w:t>
            </w:r>
            <w:r w:rsidRPr="000571F9">
              <w:rPr>
                <w:sz w:val="20"/>
                <w:szCs w:val="20"/>
              </w:rPr>
              <w:t>/2</w:t>
            </w:r>
            <w:r w:rsidR="00754413" w:rsidRPr="000571F9">
              <w:rPr>
                <w:sz w:val="20"/>
                <w:szCs w:val="20"/>
              </w:rPr>
              <w:t>3</w:t>
            </w:r>
            <w:r w:rsidRPr="000571F9">
              <w:rPr>
                <w:sz w:val="20"/>
                <w:szCs w:val="20"/>
              </w:rPr>
              <w:t xml:space="preserve"> Estimate</w:t>
            </w:r>
          </w:p>
          <w:p w14:paraId="5A874499" w14:textId="77777777" w:rsidR="00CD2424" w:rsidRPr="000571F9" w:rsidRDefault="00CD2424" w:rsidP="00CD2424">
            <w:pPr>
              <w:cnfStyle w:val="100000000000" w:firstRow="1" w:lastRow="0" w:firstColumn="0" w:lastColumn="0" w:oddVBand="0" w:evenVBand="0" w:oddHBand="0" w:evenHBand="0" w:firstRowFirstColumn="0" w:firstRowLastColumn="0" w:lastRowFirstColumn="0" w:lastRowLastColumn="0"/>
              <w:rPr>
                <w:sz w:val="20"/>
                <w:szCs w:val="20"/>
              </w:rPr>
            </w:pPr>
            <w:r w:rsidRPr="000571F9">
              <w:rPr>
                <w:sz w:val="20"/>
                <w:szCs w:val="20"/>
              </w:rPr>
              <w:t>£m</w:t>
            </w:r>
          </w:p>
        </w:tc>
        <w:tc>
          <w:tcPr>
            <w:tcW w:w="1179" w:type="dxa"/>
          </w:tcPr>
          <w:p w14:paraId="125F920D" w14:textId="299F15D0" w:rsidR="00CD2424" w:rsidRPr="000571F9" w:rsidRDefault="00CD2424" w:rsidP="00CD242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202</w:t>
            </w:r>
            <w:r w:rsidR="00754413" w:rsidRPr="000571F9">
              <w:rPr>
                <w:sz w:val="20"/>
                <w:szCs w:val="20"/>
              </w:rPr>
              <w:t>3</w:t>
            </w:r>
            <w:r w:rsidRPr="000571F9">
              <w:rPr>
                <w:sz w:val="20"/>
                <w:szCs w:val="20"/>
              </w:rPr>
              <w:t>/2</w:t>
            </w:r>
            <w:r w:rsidR="00754413" w:rsidRPr="000571F9">
              <w:rPr>
                <w:sz w:val="20"/>
                <w:szCs w:val="20"/>
              </w:rPr>
              <w:t>4</w:t>
            </w:r>
            <w:r w:rsidRPr="000571F9">
              <w:rPr>
                <w:sz w:val="20"/>
                <w:szCs w:val="20"/>
              </w:rPr>
              <w:t xml:space="preserve">           Estimate</w:t>
            </w:r>
          </w:p>
          <w:p w14:paraId="7772C8D9" w14:textId="77777777" w:rsidR="00CD2424" w:rsidRPr="000571F9" w:rsidRDefault="00CD2424" w:rsidP="00CD2424">
            <w:pPr>
              <w:cnfStyle w:val="100000000000" w:firstRow="1" w:lastRow="0" w:firstColumn="0" w:lastColumn="0" w:oddVBand="0" w:evenVBand="0" w:oddHBand="0" w:evenHBand="0" w:firstRowFirstColumn="0" w:firstRowLastColumn="0" w:lastRowFirstColumn="0" w:lastRowLastColumn="0"/>
              <w:rPr>
                <w:sz w:val="20"/>
                <w:szCs w:val="20"/>
              </w:rPr>
            </w:pPr>
            <w:r w:rsidRPr="000571F9">
              <w:rPr>
                <w:sz w:val="20"/>
                <w:szCs w:val="20"/>
              </w:rPr>
              <w:t>£m</w:t>
            </w:r>
          </w:p>
        </w:tc>
        <w:tc>
          <w:tcPr>
            <w:tcW w:w="1134" w:type="dxa"/>
          </w:tcPr>
          <w:p w14:paraId="09901BA8" w14:textId="5B6A2F85" w:rsidR="00CD2424" w:rsidRPr="000571F9" w:rsidRDefault="00CD2424" w:rsidP="00CD242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202</w:t>
            </w:r>
            <w:r w:rsidR="00754413" w:rsidRPr="000571F9">
              <w:rPr>
                <w:sz w:val="20"/>
                <w:szCs w:val="20"/>
              </w:rPr>
              <w:t>4</w:t>
            </w:r>
            <w:r w:rsidRPr="000571F9">
              <w:rPr>
                <w:sz w:val="20"/>
                <w:szCs w:val="20"/>
              </w:rPr>
              <w:t>/2</w:t>
            </w:r>
            <w:r w:rsidR="00754413" w:rsidRPr="000571F9">
              <w:rPr>
                <w:sz w:val="20"/>
                <w:szCs w:val="20"/>
              </w:rPr>
              <w:t>5</w:t>
            </w:r>
            <w:r w:rsidRPr="000571F9">
              <w:rPr>
                <w:sz w:val="20"/>
                <w:szCs w:val="20"/>
              </w:rPr>
              <w:t xml:space="preserve">           Estimate</w:t>
            </w:r>
          </w:p>
          <w:p w14:paraId="7881A204" w14:textId="77777777" w:rsidR="00CD2424" w:rsidRPr="000571F9" w:rsidRDefault="00CD2424" w:rsidP="00CD2424">
            <w:pPr>
              <w:cnfStyle w:val="100000000000" w:firstRow="1" w:lastRow="0" w:firstColumn="0" w:lastColumn="0" w:oddVBand="0" w:evenVBand="0" w:oddHBand="0" w:evenHBand="0" w:firstRowFirstColumn="0" w:firstRowLastColumn="0" w:lastRowFirstColumn="0" w:lastRowLastColumn="0"/>
              <w:rPr>
                <w:sz w:val="20"/>
                <w:szCs w:val="20"/>
              </w:rPr>
            </w:pPr>
            <w:r w:rsidRPr="000571F9">
              <w:rPr>
                <w:sz w:val="20"/>
                <w:szCs w:val="20"/>
              </w:rPr>
              <w:t>£m</w:t>
            </w:r>
          </w:p>
        </w:tc>
        <w:tc>
          <w:tcPr>
            <w:tcW w:w="1134" w:type="dxa"/>
          </w:tcPr>
          <w:p w14:paraId="2031772E" w14:textId="7AA61628" w:rsidR="00CD2424" w:rsidRPr="000571F9" w:rsidRDefault="00CD2424" w:rsidP="00CD242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202</w:t>
            </w:r>
            <w:r w:rsidR="00754413" w:rsidRPr="000571F9">
              <w:rPr>
                <w:sz w:val="20"/>
                <w:szCs w:val="20"/>
              </w:rPr>
              <w:t>5/</w:t>
            </w:r>
            <w:r w:rsidRPr="000571F9">
              <w:rPr>
                <w:sz w:val="20"/>
                <w:szCs w:val="20"/>
              </w:rPr>
              <w:t>2</w:t>
            </w:r>
            <w:r w:rsidR="00754413" w:rsidRPr="000571F9">
              <w:rPr>
                <w:sz w:val="20"/>
                <w:szCs w:val="20"/>
              </w:rPr>
              <w:t>6</w:t>
            </w:r>
            <w:r w:rsidRPr="000571F9">
              <w:rPr>
                <w:sz w:val="20"/>
                <w:szCs w:val="20"/>
              </w:rPr>
              <w:t xml:space="preserve"> Estimate</w:t>
            </w:r>
          </w:p>
          <w:p w14:paraId="24B5DFC7" w14:textId="77777777" w:rsidR="00CD2424" w:rsidRPr="000571F9" w:rsidRDefault="00CD2424" w:rsidP="00CD2424">
            <w:pPr>
              <w:cnfStyle w:val="100000000000" w:firstRow="1" w:lastRow="0" w:firstColumn="0" w:lastColumn="0" w:oddVBand="0" w:evenVBand="0" w:oddHBand="0" w:evenHBand="0" w:firstRowFirstColumn="0" w:firstRowLastColumn="0" w:lastRowFirstColumn="0" w:lastRowLastColumn="0"/>
              <w:rPr>
                <w:sz w:val="20"/>
                <w:szCs w:val="20"/>
              </w:rPr>
            </w:pPr>
            <w:r w:rsidRPr="000571F9">
              <w:rPr>
                <w:sz w:val="20"/>
                <w:szCs w:val="20"/>
              </w:rPr>
              <w:t>£m</w:t>
            </w:r>
          </w:p>
        </w:tc>
      </w:tr>
      <w:tr w:rsidR="00CD2424" w:rsidRPr="000571F9" w14:paraId="6FA2268D" w14:textId="77777777" w:rsidTr="00CD24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5" w:type="dxa"/>
            <w:noWrap/>
            <w:vAlign w:val="center"/>
            <w:hideMark/>
          </w:tcPr>
          <w:p w14:paraId="44874B31" w14:textId="77777777" w:rsidR="00CD2424" w:rsidRPr="000571F9" w:rsidRDefault="00CD2424" w:rsidP="00CD2424">
            <w:pPr>
              <w:rPr>
                <w:b w:val="0"/>
                <w:bCs w:val="0"/>
                <w:sz w:val="20"/>
                <w:szCs w:val="20"/>
              </w:rPr>
            </w:pPr>
            <w:r w:rsidRPr="000571F9">
              <w:rPr>
                <w:b w:val="0"/>
                <w:bCs w:val="0"/>
                <w:sz w:val="20"/>
                <w:szCs w:val="20"/>
              </w:rPr>
              <w:t>Land &amp; Buildings</w:t>
            </w:r>
          </w:p>
        </w:tc>
        <w:tc>
          <w:tcPr>
            <w:tcW w:w="1091" w:type="dxa"/>
            <w:vAlign w:val="center"/>
          </w:tcPr>
          <w:p w14:paraId="155C7DAE" w14:textId="22FE4132"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6.1</w:t>
            </w:r>
            <w:r w:rsidR="00D3320A" w:rsidRPr="000571F9">
              <w:rPr>
                <w:sz w:val="20"/>
                <w:szCs w:val="20"/>
              </w:rPr>
              <w:t>80</w:t>
            </w:r>
          </w:p>
        </w:tc>
        <w:tc>
          <w:tcPr>
            <w:tcW w:w="1134" w:type="dxa"/>
          </w:tcPr>
          <w:p w14:paraId="184E3EC0" w14:textId="6A7C22EB"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15.610</w:t>
            </w:r>
          </w:p>
        </w:tc>
        <w:tc>
          <w:tcPr>
            <w:tcW w:w="1179" w:type="dxa"/>
          </w:tcPr>
          <w:p w14:paraId="0CCA0A9E" w14:textId="1CB1D967"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11.199</w:t>
            </w:r>
          </w:p>
        </w:tc>
        <w:tc>
          <w:tcPr>
            <w:tcW w:w="1134" w:type="dxa"/>
          </w:tcPr>
          <w:p w14:paraId="3E061216" w14:textId="6AF730D4"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16.351</w:t>
            </w:r>
          </w:p>
        </w:tc>
        <w:tc>
          <w:tcPr>
            <w:tcW w:w="1134" w:type="dxa"/>
          </w:tcPr>
          <w:p w14:paraId="09F0A2CC" w14:textId="16AA5368"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12.839</w:t>
            </w:r>
          </w:p>
        </w:tc>
      </w:tr>
      <w:tr w:rsidR="00CD2424" w:rsidRPr="000571F9" w14:paraId="565A8D5B" w14:textId="77777777" w:rsidTr="00CD2424">
        <w:trPr>
          <w:trHeight w:val="340"/>
        </w:trPr>
        <w:tc>
          <w:tcPr>
            <w:cnfStyle w:val="001000000000" w:firstRow="0" w:lastRow="0" w:firstColumn="1" w:lastColumn="0" w:oddVBand="0" w:evenVBand="0" w:oddHBand="0" w:evenHBand="0" w:firstRowFirstColumn="0" w:firstRowLastColumn="0" w:lastRowFirstColumn="0" w:lastRowLastColumn="0"/>
            <w:tcW w:w="2975" w:type="dxa"/>
            <w:noWrap/>
            <w:vAlign w:val="center"/>
            <w:hideMark/>
          </w:tcPr>
          <w:p w14:paraId="3AADE323" w14:textId="77777777" w:rsidR="00CD2424" w:rsidRPr="000571F9" w:rsidRDefault="00CD2424" w:rsidP="00CD2424">
            <w:pPr>
              <w:rPr>
                <w:b w:val="0"/>
                <w:bCs w:val="0"/>
                <w:sz w:val="20"/>
                <w:szCs w:val="20"/>
              </w:rPr>
            </w:pPr>
            <w:r w:rsidRPr="000571F9">
              <w:rPr>
                <w:b w:val="0"/>
                <w:bCs w:val="0"/>
                <w:sz w:val="20"/>
                <w:szCs w:val="20"/>
              </w:rPr>
              <w:t>Vehicles / Boat</w:t>
            </w:r>
          </w:p>
        </w:tc>
        <w:tc>
          <w:tcPr>
            <w:tcW w:w="1091" w:type="dxa"/>
            <w:vAlign w:val="center"/>
          </w:tcPr>
          <w:p w14:paraId="3BEF8F8E" w14:textId="12B2AD63"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1.501</w:t>
            </w:r>
          </w:p>
        </w:tc>
        <w:tc>
          <w:tcPr>
            <w:tcW w:w="1134" w:type="dxa"/>
          </w:tcPr>
          <w:p w14:paraId="70630C41" w14:textId="62D8DF26" w:rsidR="00CD2424" w:rsidRPr="000571F9" w:rsidRDefault="00CD2424"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Cs/>
                <w:sz w:val="20"/>
                <w:szCs w:val="20"/>
              </w:rPr>
              <w:t>1</w:t>
            </w:r>
            <w:r w:rsidR="002E154E" w:rsidRPr="000571F9">
              <w:rPr>
                <w:bCs/>
                <w:sz w:val="20"/>
                <w:szCs w:val="20"/>
              </w:rPr>
              <w:t>.918</w:t>
            </w:r>
          </w:p>
        </w:tc>
        <w:tc>
          <w:tcPr>
            <w:tcW w:w="1179" w:type="dxa"/>
          </w:tcPr>
          <w:p w14:paraId="22DA195E" w14:textId="598ABC06" w:rsidR="00CD2424" w:rsidRPr="000571F9" w:rsidRDefault="00CD2424"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Cs/>
                <w:sz w:val="20"/>
                <w:szCs w:val="20"/>
              </w:rPr>
              <w:t>1.</w:t>
            </w:r>
            <w:r w:rsidR="002E154E" w:rsidRPr="000571F9">
              <w:rPr>
                <w:bCs/>
                <w:sz w:val="20"/>
                <w:szCs w:val="20"/>
              </w:rPr>
              <w:t>280</w:t>
            </w:r>
          </w:p>
        </w:tc>
        <w:tc>
          <w:tcPr>
            <w:tcW w:w="1134" w:type="dxa"/>
          </w:tcPr>
          <w:p w14:paraId="240BF973" w14:textId="5813BA69"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Cs/>
                <w:sz w:val="20"/>
                <w:szCs w:val="20"/>
              </w:rPr>
              <w:t>2.014</w:t>
            </w:r>
          </w:p>
        </w:tc>
        <w:tc>
          <w:tcPr>
            <w:tcW w:w="1134" w:type="dxa"/>
          </w:tcPr>
          <w:p w14:paraId="7A6D837F" w14:textId="25572AE8" w:rsidR="00CD2424" w:rsidRPr="000571F9" w:rsidRDefault="00CD2424"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Cs/>
                <w:sz w:val="20"/>
                <w:szCs w:val="20"/>
              </w:rPr>
              <w:t>1.</w:t>
            </w:r>
            <w:r w:rsidR="002E154E" w:rsidRPr="000571F9">
              <w:rPr>
                <w:bCs/>
                <w:sz w:val="20"/>
                <w:szCs w:val="20"/>
              </w:rPr>
              <w:t>680</w:t>
            </w:r>
          </w:p>
        </w:tc>
      </w:tr>
      <w:tr w:rsidR="00CD2424" w:rsidRPr="000571F9" w14:paraId="2AAF69E4" w14:textId="77777777" w:rsidTr="00CD24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5" w:type="dxa"/>
            <w:noWrap/>
            <w:vAlign w:val="center"/>
            <w:hideMark/>
          </w:tcPr>
          <w:p w14:paraId="6AEDBD63" w14:textId="77777777" w:rsidR="00CD2424" w:rsidRPr="000571F9" w:rsidRDefault="00CD2424" w:rsidP="00CD2424">
            <w:pPr>
              <w:rPr>
                <w:b w:val="0"/>
                <w:bCs w:val="0"/>
                <w:sz w:val="20"/>
                <w:szCs w:val="20"/>
              </w:rPr>
            </w:pPr>
            <w:r w:rsidRPr="000571F9">
              <w:rPr>
                <w:b w:val="0"/>
                <w:bCs w:val="0"/>
                <w:sz w:val="20"/>
                <w:szCs w:val="20"/>
              </w:rPr>
              <w:t>ICT and Other Schemes</w:t>
            </w:r>
          </w:p>
        </w:tc>
        <w:tc>
          <w:tcPr>
            <w:tcW w:w="1091" w:type="dxa"/>
            <w:vAlign w:val="center"/>
          </w:tcPr>
          <w:p w14:paraId="3D877D4B" w14:textId="10FFF913"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1.458</w:t>
            </w:r>
          </w:p>
        </w:tc>
        <w:tc>
          <w:tcPr>
            <w:tcW w:w="1134" w:type="dxa"/>
          </w:tcPr>
          <w:p w14:paraId="11DE89AE" w14:textId="7B45AB94"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bCs/>
                <w:sz w:val="20"/>
                <w:szCs w:val="20"/>
              </w:rPr>
              <w:t>5.097</w:t>
            </w:r>
          </w:p>
        </w:tc>
        <w:tc>
          <w:tcPr>
            <w:tcW w:w="1179" w:type="dxa"/>
          </w:tcPr>
          <w:p w14:paraId="21548D1D" w14:textId="603AF0F4"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bCs/>
                <w:sz w:val="20"/>
                <w:szCs w:val="20"/>
              </w:rPr>
              <w:t>5.754</w:t>
            </w:r>
          </w:p>
        </w:tc>
        <w:tc>
          <w:tcPr>
            <w:tcW w:w="1134" w:type="dxa"/>
          </w:tcPr>
          <w:p w14:paraId="43B64E27" w14:textId="253B0DFD"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bCs/>
                <w:sz w:val="20"/>
                <w:szCs w:val="20"/>
              </w:rPr>
              <w:t>3.260</w:t>
            </w:r>
          </w:p>
        </w:tc>
        <w:tc>
          <w:tcPr>
            <w:tcW w:w="1134" w:type="dxa"/>
          </w:tcPr>
          <w:p w14:paraId="43E105FC" w14:textId="675EB519"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bCs/>
                <w:sz w:val="20"/>
                <w:szCs w:val="20"/>
              </w:rPr>
              <w:t>4.667</w:t>
            </w:r>
          </w:p>
        </w:tc>
      </w:tr>
      <w:tr w:rsidR="00CD2424" w:rsidRPr="000571F9" w14:paraId="72384123" w14:textId="77777777" w:rsidTr="00CD2424">
        <w:trPr>
          <w:trHeight w:val="340"/>
        </w:trPr>
        <w:tc>
          <w:tcPr>
            <w:cnfStyle w:val="001000000000" w:firstRow="0" w:lastRow="0" w:firstColumn="1" w:lastColumn="0" w:oddVBand="0" w:evenVBand="0" w:oddHBand="0" w:evenHBand="0" w:firstRowFirstColumn="0" w:firstRowLastColumn="0" w:lastRowFirstColumn="0" w:lastRowLastColumn="0"/>
            <w:tcW w:w="2975" w:type="dxa"/>
            <w:noWrap/>
            <w:vAlign w:val="center"/>
            <w:hideMark/>
          </w:tcPr>
          <w:p w14:paraId="267E2566" w14:textId="77777777" w:rsidR="00CD2424" w:rsidRPr="000571F9" w:rsidRDefault="00CD2424" w:rsidP="00CD2424">
            <w:pPr>
              <w:rPr>
                <w:sz w:val="20"/>
                <w:szCs w:val="20"/>
              </w:rPr>
            </w:pPr>
            <w:r w:rsidRPr="000571F9">
              <w:rPr>
                <w:sz w:val="20"/>
                <w:szCs w:val="20"/>
              </w:rPr>
              <w:t>Total Expenditure</w:t>
            </w:r>
          </w:p>
        </w:tc>
        <w:tc>
          <w:tcPr>
            <w:tcW w:w="1091" w:type="dxa"/>
            <w:vAlign w:val="center"/>
          </w:tcPr>
          <w:p w14:paraId="506D7E2A" w14:textId="430BA37D"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0571F9">
              <w:rPr>
                <w:b/>
                <w:bCs/>
                <w:sz w:val="20"/>
                <w:szCs w:val="20"/>
              </w:rPr>
              <w:t>9.</w:t>
            </w:r>
            <w:r w:rsidR="00D3320A" w:rsidRPr="000571F9">
              <w:rPr>
                <w:b/>
                <w:bCs/>
                <w:sz w:val="20"/>
                <w:szCs w:val="20"/>
              </w:rPr>
              <w:t>139</w:t>
            </w:r>
          </w:p>
        </w:tc>
        <w:tc>
          <w:tcPr>
            <w:tcW w:w="1134" w:type="dxa"/>
          </w:tcPr>
          <w:p w14:paraId="138DEF5F" w14:textId="3AC35310"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
                <w:sz w:val="20"/>
                <w:szCs w:val="20"/>
              </w:rPr>
              <w:t>22.625</w:t>
            </w:r>
          </w:p>
        </w:tc>
        <w:tc>
          <w:tcPr>
            <w:tcW w:w="1179" w:type="dxa"/>
          </w:tcPr>
          <w:p w14:paraId="4724C862" w14:textId="5A833739"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
                <w:sz w:val="20"/>
                <w:szCs w:val="20"/>
              </w:rPr>
              <w:t>18.233</w:t>
            </w:r>
          </w:p>
        </w:tc>
        <w:tc>
          <w:tcPr>
            <w:tcW w:w="1134" w:type="dxa"/>
          </w:tcPr>
          <w:p w14:paraId="69282C45" w14:textId="1B7F28F0" w:rsidR="00CD2424" w:rsidRPr="000571F9" w:rsidRDefault="00CD2424"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
                <w:sz w:val="20"/>
                <w:szCs w:val="20"/>
              </w:rPr>
              <w:t>2</w:t>
            </w:r>
            <w:r w:rsidR="002E154E" w:rsidRPr="000571F9">
              <w:rPr>
                <w:b/>
                <w:sz w:val="20"/>
                <w:szCs w:val="20"/>
              </w:rPr>
              <w:t>1.625</w:t>
            </w:r>
          </w:p>
        </w:tc>
        <w:tc>
          <w:tcPr>
            <w:tcW w:w="1134" w:type="dxa"/>
          </w:tcPr>
          <w:p w14:paraId="453736A5" w14:textId="16B74069" w:rsidR="00CD2424" w:rsidRPr="000571F9" w:rsidRDefault="00CD2424"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
                <w:sz w:val="20"/>
                <w:szCs w:val="20"/>
              </w:rPr>
              <w:t>1</w:t>
            </w:r>
            <w:r w:rsidR="002E154E" w:rsidRPr="000571F9">
              <w:rPr>
                <w:b/>
                <w:sz w:val="20"/>
                <w:szCs w:val="20"/>
              </w:rPr>
              <w:t>9.186</w:t>
            </w:r>
          </w:p>
        </w:tc>
      </w:tr>
      <w:tr w:rsidR="00CD2424" w:rsidRPr="000571F9" w14:paraId="667D8E52" w14:textId="77777777" w:rsidTr="00CD2424">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975" w:type="dxa"/>
            <w:noWrap/>
            <w:vAlign w:val="center"/>
          </w:tcPr>
          <w:p w14:paraId="7327DCD0" w14:textId="77777777" w:rsidR="00CD2424" w:rsidRPr="000571F9" w:rsidRDefault="00CD2424" w:rsidP="00CD2424">
            <w:pPr>
              <w:rPr>
                <w:sz w:val="20"/>
                <w:szCs w:val="20"/>
              </w:rPr>
            </w:pPr>
          </w:p>
        </w:tc>
        <w:tc>
          <w:tcPr>
            <w:tcW w:w="1091" w:type="dxa"/>
            <w:vAlign w:val="center"/>
          </w:tcPr>
          <w:p w14:paraId="5B4F1691" w14:textId="77777777" w:rsidR="00CD2424" w:rsidRPr="000571F9" w:rsidRDefault="00CD2424"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vAlign w:val="center"/>
          </w:tcPr>
          <w:p w14:paraId="04218E06" w14:textId="77777777" w:rsidR="00CD2424" w:rsidRPr="000571F9" w:rsidRDefault="00CD2424"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79" w:type="dxa"/>
            <w:vAlign w:val="center"/>
          </w:tcPr>
          <w:p w14:paraId="16522B63" w14:textId="77777777" w:rsidR="00CD2424" w:rsidRPr="000571F9" w:rsidRDefault="00CD2424"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vAlign w:val="center"/>
          </w:tcPr>
          <w:p w14:paraId="69573913" w14:textId="77777777" w:rsidR="00CD2424" w:rsidRPr="000571F9" w:rsidRDefault="00CD2424"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52356C03" w14:textId="77777777" w:rsidR="00CD2424" w:rsidRPr="000571F9" w:rsidRDefault="00CD2424"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CD2424" w:rsidRPr="000571F9" w14:paraId="378754C3" w14:textId="77777777" w:rsidTr="00CD2424">
        <w:trPr>
          <w:trHeight w:val="340"/>
        </w:trPr>
        <w:tc>
          <w:tcPr>
            <w:cnfStyle w:val="001000000000" w:firstRow="0" w:lastRow="0" w:firstColumn="1" w:lastColumn="0" w:oddVBand="0" w:evenVBand="0" w:oddHBand="0" w:evenHBand="0" w:firstRowFirstColumn="0" w:firstRowLastColumn="0" w:lastRowFirstColumn="0" w:lastRowLastColumn="0"/>
            <w:tcW w:w="2975" w:type="dxa"/>
            <w:shd w:val="clear" w:color="auto" w:fill="FBD4B4" w:themeFill="accent6" w:themeFillTint="66"/>
            <w:noWrap/>
            <w:vAlign w:val="center"/>
            <w:hideMark/>
          </w:tcPr>
          <w:p w14:paraId="79C9DAD1" w14:textId="77777777" w:rsidR="00CD2424" w:rsidRPr="000571F9" w:rsidRDefault="00CD2424" w:rsidP="00CD2424">
            <w:pPr>
              <w:rPr>
                <w:sz w:val="20"/>
                <w:szCs w:val="20"/>
              </w:rPr>
            </w:pPr>
            <w:r w:rsidRPr="000571F9">
              <w:rPr>
                <w:sz w:val="20"/>
                <w:szCs w:val="20"/>
              </w:rPr>
              <w:t>Borrowing Requirement</w:t>
            </w:r>
          </w:p>
        </w:tc>
        <w:tc>
          <w:tcPr>
            <w:tcW w:w="1091" w:type="dxa"/>
            <w:shd w:val="clear" w:color="auto" w:fill="FBD4B4" w:themeFill="accent6" w:themeFillTint="66"/>
          </w:tcPr>
          <w:p w14:paraId="4FDC8DDE" w14:textId="7511882A"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Cs/>
                <w:sz w:val="20"/>
                <w:szCs w:val="20"/>
              </w:rPr>
              <w:t>5.</w:t>
            </w:r>
            <w:r w:rsidR="00D3320A" w:rsidRPr="000571F9">
              <w:rPr>
                <w:bCs/>
                <w:sz w:val="20"/>
                <w:szCs w:val="20"/>
              </w:rPr>
              <w:t>234</w:t>
            </w:r>
          </w:p>
        </w:tc>
        <w:tc>
          <w:tcPr>
            <w:tcW w:w="1134" w:type="dxa"/>
            <w:shd w:val="clear" w:color="auto" w:fill="FBD4B4" w:themeFill="accent6" w:themeFillTint="66"/>
          </w:tcPr>
          <w:p w14:paraId="5B3B66EC" w14:textId="432AFD22"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Cs/>
                <w:sz w:val="20"/>
                <w:szCs w:val="20"/>
              </w:rPr>
              <w:t>15.610</w:t>
            </w:r>
          </w:p>
        </w:tc>
        <w:tc>
          <w:tcPr>
            <w:tcW w:w="1179" w:type="dxa"/>
            <w:shd w:val="clear" w:color="auto" w:fill="FBD4B4" w:themeFill="accent6" w:themeFillTint="66"/>
          </w:tcPr>
          <w:p w14:paraId="10E84D72" w14:textId="3F665882" w:rsidR="00CD2424" w:rsidRPr="000571F9" w:rsidRDefault="00CD2424"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Cs/>
                <w:sz w:val="20"/>
                <w:szCs w:val="20"/>
              </w:rPr>
              <w:t>1</w:t>
            </w:r>
            <w:r w:rsidR="002E154E" w:rsidRPr="000571F9">
              <w:rPr>
                <w:bCs/>
                <w:sz w:val="20"/>
                <w:szCs w:val="20"/>
              </w:rPr>
              <w:t>1.199</w:t>
            </w:r>
          </w:p>
        </w:tc>
        <w:tc>
          <w:tcPr>
            <w:tcW w:w="1134" w:type="dxa"/>
            <w:shd w:val="clear" w:color="auto" w:fill="FBD4B4" w:themeFill="accent6" w:themeFillTint="66"/>
          </w:tcPr>
          <w:p w14:paraId="3AEFBC7F" w14:textId="66CB8EEB" w:rsidR="00CD2424" w:rsidRPr="000571F9" w:rsidRDefault="00CD2424"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Cs/>
                <w:sz w:val="20"/>
                <w:szCs w:val="20"/>
              </w:rPr>
              <w:t>17.</w:t>
            </w:r>
            <w:r w:rsidR="002E154E" w:rsidRPr="000571F9">
              <w:rPr>
                <w:bCs/>
                <w:sz w:val="20"/>
                <w:szCs w:val="20"/>
              </w:rPr>
              <w:t>962</w:t>
            </w:r>
          </w:p>
        </w:tc>
        <w:tc>
          <w:tcPr>
            <w:tcW w:w="1134" w:type="dxa"/>
            <w:shd w:val="clear" w:color="auto" w:fill="FBD4B4" w:themeFill="accent6" w:themeFillTint="66"/>
          </w:tcPr>
          <w:p w14:paraId="1A1F22D0" w14:textId="2F123C7F"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bCs/>
                <w:sz w:val="20"/>
                <w:szCs w:val="20"/>
              </w:rPr>
              <w:t>15.354</w:t>
            </w:r>
          </w:p>
        </w:tc>
      </w:tr>
      <w:tr w:rsidR="00CD2424" w:rsidRPr="000571F9" w14:paraId="3E49DEC6" w14:textId="77777777" w:rsidTr="00CD24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5" w:type="dxa"/>
            <w:noWrap/>
            <w:vAlign w:val="center"/>
          </w:tcPr>
          <w:p w14:paraId="5DCB9674" w14:textId="77777777" w:rsidR="00CD2424" w:rsidRPr="000571F9" w:rsidRDefault="00CD2424" w:rsidP="00CD2424">
            <w:pPr>
              <w:rPr>
                <w:b w:val="0"/>
                <w:bCs w:val="0"/>
                <w:sz w:val="20"/>
                <w:szCs w:val="20"/>
              </w:rPr>
            </w:pPr>
            <w:r w:rsidRPr="000571F9">
              <w:rPr>
                <w:b w:val="0"/>
                <w:bCs w:val="0"/>
                <w:sz w:val="20"/>
                <w:szCs w:val="20"/>
              </w:rPr>
              <w:t>Capital Grants</w:t>
            </w:r>
          </w:p>
        </w:tc>
        <w:tc>
          <w:tcPr>
            <w:tcW w:w="1091" w:type="dxa"/>
          </w:tcPr>
          <w:p w14:paraId="6657C345" w14:textId="795E759B"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1.346</w:t>
            </w:r>
          </w:p>
        </w:tc>
        <w:tc>
          <w:tcPr>
            <w:tcW w:w="1134" w:type="dxa"/>
          </w:tcPr>
          <w:p w14:paraId="4FEB13D2" w14:textId="4FE8F775"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0.203</w:t>
            </w:r>
          </w:p>
        </w:tc>
        <w:tc>
          <w:tcPr>
            <w:tcW w:w="1179" w:type="dxa"/>
          </w:tcPr>
          <w:p w14:paraId="08642C65" w14:textId="05963DDF" w:rsidR="00CD2424" w:rsidRPr="000571F9" w:rsidRDefault="002E154E" w:rsidP="002E154E">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0.050</w:t>
            </w:r>
          </w:p>
        </w:tc>
        <w:tc>
          <w:tcPr>
            <w:tcW w:w="1134" w:type="dxa"/>
          </w:tcPr>
          <w:p w14:paraId="0607CEA6" w14:textId="592F1737"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0.050</w:t>
            </w:r>
          </w:p>
        </w:tc>
        <w:tc>
          <w:tcPr>
            <w:tcW w:w="1134" w:type="dxa"/>
          </w:tcPr>
          <w:p w14:paraId="748F735E" w14:textId="089FD56F"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0.070</w:t>
            </w:r>
          </w:p>
        </w:tc>
      </w:tr>
      <w:tr w:rsidR="00CD2424" w:rsidRPr="000571F9" w14:paraId="60A45182" w14:textId="77777777" w:rsidTr="00CD2424">
        <w:trPr>
          <w:trHeight w:val="340"/>
        </w:trPr>
        <w:tc>
          <w:tcPr>
            <w:cnfStyle w:val="001000000000" w:firstRow="0" w:lastRow="0" w:firstColumn="1" w:lastColumn="0" w:oddVBand="0" w:evenVBand="0" w:oddHBand="0" w:evenHBand="0" w:firstRowFirstColumn="0" w:firstRowLastColumn="0" w:lastRowFirstColumn="0" w:lastRowLastColumn="0"/>
            <w:tcW w:w="2975" w:type="dxa"/>
            <w:noWrap/>
            <w:vAlign w:val="center"/>
            <w:hideMark/>
          </w:tcPr>
          <w:p w14:paraId="32F43510" w14:textId="77777777" w:rsidR="00CD2424" w:rsidRPr="000571F9" w:rsidRDefault="00CD2424" w:rsidP="00CD2424">
            <w:pPr>
              <w:rPr>
                <w:b w:val="0"/>
                <w:bCs w:val="0"/>
                <w:sz w:val="20"/>
                <w:szCs w:val="20"/>
              </w:rPr>
            </w:pPr>
            <w:r w:rsidRPr="000571F9">
              <w:rPr>
                <w:b w:val="0"/>
                <w:bCs w:val="0"/>
                <w:sz w:val="20"/>
                <w:szCs w:val="20"/>
              </w:rPr>
              <w:t>Contribution from Revenue</w:t>
            </w:r>
          </w:p>
        </w:tc>
        <w:tc>
          <w:tcPr>
            <w:tcW w:w="1091" w:type="dxa"/>
          </w:tcPr>
          <w:p w14:paraId="5DA46633" w14:textId="69782A90"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2.522</w:t>
            </w:r>
          </w:p>
        </w:tc>
        <w:tc>
          <w:tcPr>
            <w:tcW w:w="1134" w:type="dxa"/>
          </w:tcPr>
          <w:p w14:paraId="06F1A5FF" w14:textId="57E8D397" w:rsidR="00CD2424" w:rsidRPr="000571F9" w:rsidRDefault="00CD2424"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2.</w:t>
            </w:r>
            <w:r w:rsidR="002E154E" w:rsidRPr="000571F9">
              <w:rPr>
                <w:sz w:val="20"/>
                <w:szCs w:val="20"/>
              </w:rPr>
              <w:t>948</w:t>
            </w:r>
          </w:p>
        </w:tc>
        <w:tc>
          <w:tcPr>
            <w:tcW w:w="1179" w:type="dxa"/>
          </w:tcPr>
          <w:p w14:paraId="7F79D796" w14:textId="5D0DA159" w:rsidR="00CD2424" w:rsidRPr="000571F9" w:rsidRDefault="00CD2424"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2.</w:t>
            </w:r>
            <w:r w:rsidR="002E154E" w:rsidRPr="000571F9">
              <w:rPr>
                <w:sz w:val="20"/>
                <w:szCs w:val="20"/>
              </w:rPr>
              <w:t>306</w:t>
            </w:r>
          </w:p>
        </w:tc>
        <w:tc>
          <w:tcPr>
            <w:tcW w:w="1134" w:type="dxa"/>
          </w:tcPr>
          <w:p w14:paraId="00509F4A" w14:textId="65A272CA" w:rsidR="00CD2424" w:rsidRPr="000571F9" w:rsidRDefault="00CD2424"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2.</w:t>
            </w:r>
            <w:r w:rsidR="002E154E" w:rsidRPr="000571F9">
              <w:rPr>
                <w:sz w:val="20"/>
                <w:szCs w:val="20"/>
              </w:rPr>
              <w:t>675</w:t>
            </w:r>
          </w:p>
        </w:tc>
        <w:tc>
          <w:tcPr>
            <w:tcW w:w="1134" w:type="dxa"/>
          </w:tcPr>
          <w:p w14:paraId="2FFB8EDC" w14:textId="7983E31F" w:rsidR="00CD2424" w:rsidRPr="000571F9" w:rsidRDefault="00CD2424"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3.</w:t>
            </w:r>
            <w:r w:rsidR="002E154E" w:rsidRPr="000571F9">
              <w:rPr>
                <w:sz w:val="20"/>
                <w:szCs w:val="20"/>
              </w:rPr>
              <w:t>711</w:t>
            </w:r>
          </w:p>
        </w:tc>
      </w:tr>
      <w:tr w:rsidR="00CD2424" w:rsidRPr="000571F9" w14:paraId="5A525CE5" w14:textId="77777777" w:rsidTr="00CD24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5" w:type="dxa"/>
            <w:noWrap/>
            <w:vAlign w:val="center"/>
            <w:hideMark/>
          </w:tcPr>
          <w:p w14:paraId="1AD7CA4F" w14:textId="77777777" w:rsidR="00CD2424" w:rsidRPr="000571F9" w:rsidRDefault="00CD2424" w:rsidP="00CD2424">
            <w:pPr>
              <w:rPr>
                <w:b w:val="0"/>
                <w:bCs w:val="0"/>
                <w:sz w:val="20"/>
                <w:szCs w:val="20"/>
              </w:rPr>
            </w:pPr>
            <w:r w:rsidRPr="000571F9">
              <w:rPr>
                <w:b w:val="0"/>
                <w:bCs w:val="0"/>
                <w:sz w:val="20"/>
                <w:szCs w:val="20"/>
              </w:rPr>
              <w:t>Capital Receipts</w:t>
            </w:r>
          </w:p>
        </w:tc>
        <w:tc>
          <w:tcPr>
            <w:tcW w:w="1091" w:type="dxa"/>
          </w:tcPr>
          <w:p w14:paraId="6379099F" w14:textId="03239999" w:rsidR="00CD2424" w:rsidRPr="000571F9" w:rsidRDefault="00CD2424"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w:t>
            </w:r>
            <w:r w:rsidR="002E154E" w:rsidRPr="000571F9">
              <w:rPr>
                <w:sz w:val="20"/>
                <w:szCs w:val="20"/>
              </w:rPr>
              <w:t>.037</w:t>
            </w:r>
          </w:p>
        </w:tc>
        <w:tc>
          <w:tcPr>
            <w:tcW w:w="1134" w:type="dxa"/>
          </w:tcPr>
          <w:p w14:paraId="3572F932" w14:textId="64E2FC0C" w:rsidR="00CD2424" w:rsidRPr="000571F9" w:rsidRDefault="00CD2424"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w:t>
            </w:r>
            <w:r w:rsidR="002E154E" w:rsidRPr="000571F9">
              <w:rPr>
                <w:sz w:val="20"/>
                <w:szCs w:val="20"/>
              </w:rPr>
              <w:t>050</w:t>
            </w:r>
          </w:p>
        </w:tc>
        <w:tc>
          <w:tcPr>
            <w:tcW w:w="1179" w:type="dxa"/>
          </w:tcPr>
          <w:p w14:paraId="16CEC43D" w14:textId="6E73D934" w:rsidR="00CD2424" w:rsidRPr="000571F9" w:rsidRDefault="00CD2424"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w:t>
            </w:r>
            <w:r w:rsidR="002E154E" w:rsidRPr="000571F9">
              <w:rPr>
                <w:sz w:val="20"/>
                <w:szCs w:val="20"/>
              </w:rPr>
              <w:t>400</w:t>
            </w:r>
          </w:p>
        </w:tc>
        <w:tc>
          <w:tcPr>
            <w:tcW w:w="1134" w:type="dxa"/>
          </w:tcPr>
          <w:p w14:paraId="154B202B" w14:textId="29C7277D" w:rsidR="00CD2424" w:rsidRPr="000571F9" w:rsidRDefault="00CD2424"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w:t>
            </w:r>
            <w:r w:rsidR="002E154E" w:rsidRPr="000571F9">
              <w:rPr>
                <w:sz w:val="20"/>
                <w:szCs w:val="20"/>
              </w:rPr>
              <w:t>5</w:t>
            </w:r>
            <w:r w:rsidRPr="000571F9">
              <w:rPr>
                <w:sz w:val="20"/>
                <w:szCs w:val="20"/>
              </w:rPr>
              <w:t>00</w:t>
            </w:r>
          </w:p>
        </w:tc>
        <w:tc>
          <w:tcPr>
            <w:tcW w:w="1134" w:type="dxa"/>
          </w:tcPr>
          <w:p w14:paraId="7E1DDA73" w14:textId="5A54C23B" w:rsidR="00CD2424" w:rsidRPr="000571F9" w:rsidRDefault="00CD2424" w:rsidP="003C36D7">
            <w:pPr>
              <w:jc w:val="right"/>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w:t>
            </w:r>
            <w:r w:rsidR="002E154E" w:rsidRPr="000571F9">
              <w:rPr>
                <w:sz w:val="20"/>
                <w:szCs w:val="20"/>
              </w:rPr>
              <w:t>050</w:t>
            </w:r>
          </w:p>
        </w:tc>
      </w:tr>
      <w:tr w:rsidR="00CD2424" w:rsidRPr="000571F9" w14:paraId="044265B0" w14:textId="77777777" w:rsidTr="00CD2424">
        <w:trPr>
          <w:trHeight w:val="340"/>
        </w:trPr>
        <w:tc>
          <w:tcPr>
            <w:cnfStyle w:val="001000000000" w:firstRow="0" w:lastRow="0" w:firstColumn="1" w:lastColumn="0" w:oddVBand="0" w:evenVBand="0" w:oddHBand="0" w:evenHBand="0" w:firstRowFirstColumn="0" w:firstRowLastColumn="0" w:lastRowFirstColumn="0" w:lastRowLastColumn="0"/>
            <w:tcW w:w="2975" w:type="dxa"/>
            <w:noWrap/>
            <w:vAlign w:val="center"/>
          </w:tcPr>
          <w:p w14:paraId="24C2A56B" w14:textId="0292801E" w:rsidR="00CD2424" w:rsidRPr="000571F9" w:rsidRDefault="00CD2424" w:rsidP="00CD2424">
            <w:pPr>
              <w:rPr>
                <w:b w:val="0"/>
                <w:bCs w:val="0"/>
                <w:sz w:val="20"/>
                <w:szCs w:val="20"/>
              </w:rPr>
            </w:pPr>
            <w:r w:rsidRPr="000571F9">
              <w:rPr>
                <w:b w:val="0"/>
                <w:bCs w:val="0"/>
                <w:sz w:val="20"/>
                <w:szCs w:val="20"/>
              </w:rPr>
              <w:t xml:space="preserve">Capital </w:t>
            </w:r>
            <w:r w:rsidR="002E154E" w:rsidRPr="000571F9">
              <w:rPr>
                <w:b w:val="0"/>
                <w:bCs w:val="0"/>
                <w:sz w:val="20"/>
                <w:szCs w:val="20"/>
              </w:rPr>
              <w:t xml:space="preserve">&amp; Sustainability </w:t>
            </w:r>
            <w:r w:rsidRPr="000571F9">
              <w:rPr>
                <w:b w:val="0"/>
                <w:bCs w:val="0"/>
                <w:sz w:val="20"/>
                <w:szCs w:val="20"/>
              </w:rPr>
              <w:t>Reserve</w:t>
            </w:r>
          </w:p>
        </w:tc>
        <w:tc>
          <w:tcPr>
            <w:tcW w:w="1091" w:type="dxa"/>
          </w:tcPr>
          <w:p w14:paraId="5A50C6BF" w14:textId="481761E0"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w:t>
            </w:r>
          </w:p>
        </w:tc>
        <w:tc>
          <w:tcPr>
            <w:tcW w:w="1134" w:type="dxa"/>
          </w:tcPr>
          <w:p w14:paraId="67E57529" w14:textId="7CC49967"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3.814</w:t>
            </w:r>
          </w:p>
        </w:tc>
        <w:tc>
          <w:tcPr>
            <w:tcW w:w="1179" w:type="dxa"/>
          </w:tcPr>
          <w:p w14:paraId="68CC95AF" w14:textId="4596CF5B"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4.278</w:t>
            </w:r>
          </w:p>
        </w:tc>
        <w:tc>
          <w:tcPr>
            <w:tcW w:w="1134" w:type="dxa"/>
          </w:tcPr>
          <w:p w14:paraId="0B975B14" w14:textId="44756913"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0.438</w:t>
            </w:r>
          </w:p>
        </w:tc>
        <w:tc>
          <w:tcPr>
            <w:tcW w:w="1134" w:type="dxa"/>
          </w:tcPr>
          <w:p w14:paraId="488DD573" w14:textId="6DBEC438" w:rsidR="00CD2424" w:rsidRPr="000571F9" w:rsidRDefault="002E154E" w:rsidP="003C36D7">
            <w:pPr>
              <w:jc w:val="right"/>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0.001</w:t>
            </w:r>
          </w:p>
        </w:tc>
      </w:tr>
      <w:tr w:rsidR="00CD2424" w:rsidRPr="000571F9" w14:paraId="06F88047" w14:textId="77777777" w:rsidTr="00CD24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5" w:type="dxa"/>
            <w:noWrap/>
            <w:vAlign w:val="center"/>
            <w:hideMark/>
          </w:tcPr>
          <w:p w14:paraId="0243BA4D" w14:textId="77777777" w:rsidR="00CD2424" w:rsidRPr="000571F9" w:rsidRDefault="00CD2424" w:rsidP="00CD2424">
            <w:pPr>
              <w:rPr>
                <w:sz w:val="20"/>
                <w:szCs w:val="20"/>
              </w:rPr>
            </w:pPr>
            <w:r w:rsidRPr="000571F9">
              <w:rPr>
                <w:sz w:val="20"/>
                <w:szCs w:val="20"/>
              </w:rPr>
              <w:t>Total Financing</w:t>
            </w:r>
          </w:p>
        </w:tc>
        <w:tc>
          <w:tcPr>
            <w:tcW w:w="1091" w:type="dxa"/>
            <w:vAlign w:val="center"/>
          </w:tcPr>
          <w:p w14:paraId="7B4ED9A3" w14:textId="22B98481"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0571F9">
              <w:rPr>
                <w:b/>
                <w:bCs/>
                <w:sz w:val="20"/>
                <w:szCs w:val="20"/>
              </w:rPr>
              <w:t>9.</w:t>
            </w:r>
            <w:r w:rsidR="00D3320A" w:rsidRPr="000571F9">
              <w:rPr>
                <w:b/>
                <w:bCs/>
                <w:sz w:val="20"/>
                <w:szCs w:val="20"/>
              </w:rPr>
              <w:t>139</w:t>
            </w:r>
          </w:p>
        </w:tc>
        <w:tc>
          <w:tcPr>
            <w:tcW w:w="1134" w:type="dxa"/>
            <w:vAlign w:val="center"/>
          </w:tcPr>
          <w:p w14:paraId="1B002EDE" w14:textId="2528CE3C"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0571F9">
              <w:rPr>
                <w:b/>
                <w:bCs/>
                <w:sz w:val="20"/>
                <w:szCs w:val="20"/>
              </w:rPr>
              <w:t>22.625</w:t>
            </w:r>
          </w:p>
        </w:tc>
        <w:tc>
          <w:tcPr>
            <w:tcW w:w="1179" w:type="dxa"/>
            <w:vAlign w:val="center"/>
          </w:tcPr>
          <w:p w14:paraId="7112AD5F" w14:textId="6452CAC2"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0571F9">
              <w:rPr>
                <w:b/>
                <w:bCs/>
                <w:sz w:val="20"/>
                <w:szCs w:val="20"/>
              </w:rPr>
              <w:t>18.233</w:t>
            </w:r>
          </w:p>
        </w:tc>
        <w:tc>
          <w:tcPr>
            <w:tcW w:w="1134" w:type="dxa"/>
            <w:vAlign w:val="center"/>
          </w:tcPr>
          <w:p w14:paraId="74921496" w14:textId="6285A183" w:rsidR="00CD2424" w:rsidRPr="000571F9" w:rsidRDefault="00CD2424" w:rsidP="003C36D7">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0571F9">
              <w:rPr>
                <w:b/>
                <w:bCs/>
                <w:sz w:val="20"/>
                <w:szCs w:val="20"/>
              </w:rPr>
              <w:t>2</w:t>
            </w:r>
            <w:r w:rsidR="002E154E" w:rsidRPr="000571F9">
              <w:rPr>
                <w:b/>
                <w:bCs/>
                <w:sz w:val="20"/>
                <w:szCs w:val="20"/>
              </w:rPr>
              <w:t>1.625</w:t>
            </w:r>
          </w:p>
        </w:tc>
        <w:tc>
          <w:tcPr>
            <w:tcW w:w="1134" w:type="dxa"/>
            <w:vAlign w:val="center"/>
          </w:tcPr>
          <w:p w14:paraId="232CC118" w14:textId="67BDAF7B" w:rsidR="00CD2424" w:rsidRPr="000571F9" w:rsidRDefault="002E154E" w:rsidP="003C36D7">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0571F9">
              <w:rPr>
                <w:b/>
                <w:bCs/>
                <w:sz w:val="20"/>
                <w:szCs w:val="20"/>
              </w:rPr>
              <w:t>19.186</w:t>
            </w:r>
          </w:p>
        </w:tc>
      </w:tr>
    </w:tbl>
    <w:p w14:paraId="5393C56E" w14:textId="09D9D947" w:rsidR="005565CC" w:rsidRPr="000571F9" w:rsidRDefault="005565CC" w:rsidP="002D5343"/>
    <w:p w14:paraId="172E4EC9" w14:textId="77777777" w:rsidR="00CD2424" w:rsidRPr="000571F9" w:rsidRDefault="00CD2424" w:rsidP="00FE36A8">
      <w:pPr>
        <w:rPr>
          <w:b/>
          <w:bCs/>
        </w:rPr>
      </w:pPr>
    </w:p>
    <w:p w14:paraId="69F0C020" w14:textId="77777777" w:rsidR="00CD2424" w:rsidRPr="000571F9" w:rsidRDefault="00CD2424" w:rsidP="00FE36A8">
      <w:pPr>
        <w:rPr>
          <w:b/>
          <w:bCs/>
        </w:rPr>
      </w:pPr>
    </w:p>
    <w:p w14:paraId="3E3350B8" w14:textId="77777777" w:rsidR="00CD2424" w:rsidRPr="000571F9" w:rsidRDefault="00CD2424" w:rsidP="00FE36A8">
      <w:pPr>
        <w:rPr>
          <w:b/>
          <w:bCs/>
        </w:rPr>
      </w:pPr>
    </w:p>
    <w:p w14:paraId="5DFF1C5C" w14:textId="77777777" w:rsidR="00CD2424" w:rsidRPr="000571F9" w:rsidRDefault="00CD2424" w:rsidP="00FE36A8">
      <w:pPr>
        <w:rPr>
          <w:b/>
          <w:bCs/>
        </w:rPr>
      </w:pPr>
    </w:p>
    <w:p w14:paraId="6709EA78" w14:textId="1EEFEEA8" w:rsidR="00770E1C" w:rsidRPr="000571F9" w:rsidRDefault="00770E1C" w:rsidP="00FE36A8">
      <w:pPr>
        <w:rPr>
          <w:b/>
          <w:bCs/>
        </w:rPr>
      </w:pPr>
      <w:r w:rsidRPr="000571F9">
        <w:rPr>
          <w:b/>
          <w:bCs/>
        </w:rPr>
        <w:lastRenderedPageBreak/>
        <w:t>Estimate of Capital Financing Requirement</w:t>
      </w:r>
    </w:p>
    <w:p w14:paraId="0274F1D0" w14:textId="2D3CA52E" w:rsidR="00770E1C" w:rsidRPr="000571F9" w:rsidRDefault="00770E1C" w:rsidP="002D5343">
      <w:r w:rsidRPr="000571F9">
        <w:t xml:space="preserve">The Capital Financing Requirement (CFR) measures the </w:t>
      </w:r>
      <w:r w:rsidR="00657EFA" w:rsidRPr="000571F9">
        <w:t>Commissioner</w:t>
      </w:r>
      <w:r w:rsidRPr="000571F9">
        <w:t>’s underlying need to borrow for a capital purpose.</w:t>
      </w:r>
    </w:p>
    <w:tbl>
      <w:tblPr>
        <w:tblStyle w:val="GridTable4-Accent1"/>
        <w:tblW w:w="8031" w:type="dxa"/>
        <w:tblLayout w:type="fixed"/>
        <w:tblLook w:val="04A0" w:firstRow="1" w:lastRow="0" w:firstColumn="1" w:lastColumn="0" w:noHBand="0" w:noVBand="1"/>
      </w:tblPr>
      <w:tblGrid>
        <w:gridCol w:w="2661"/>
        <w:gridCol w:w="1074"/>
        <w:gridCol w:w="1074"/>
        <w:gridCol w:w="1074"/>
        <w:gridCol w:w="1074"/>
        <w:gridCol w:w="1074"/>
      </w:tblGrid>
      <w:tr w:rsidR="002D13F1" w:rsidRPr="000571F9" w14:paraId="1A73317D" w14:textId="2B4DE323" w:rsidTr="002D13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61" w:type="dxa"/>
          </w:tcPr>
          <w:p w14:paraId="770F47B4" w14:textId="77777777" w:rsidR="002D13F1" w:rsidRPr="000571F9" w:rsidRDefault="002D13F1" w:rsidP="00CD2424">
            <w:pPr>
              <w:spacing w:before="0" w:after="0"/>
              <w:rPr>
                <w:b w:val="0"/>
                <w:bCs w:val="0"/>
                <w:sz w:val="20"/>
                <w:szCs w:val="20"/>
              </w:rPr>
            </w:pPr>
            <w:r w:rsidRPr="000571F9">
              <w:rPr>
                <w:sz w:val="20"/>
                <w:szCs w:val="20"/>
              </w:rPr>
              <w:t>Cumulative Capital Financing Requirement</w:t>
            </w:r>
          </w:p>
        </w:tc>
        <w:tc>
          <w:tcPr>
            <w:tcW w:w="1074" w:type="dxa"/>
          </w:tcPr>
          <w:p w14:paraId="203EC904" w14:textId="7BB8567C" w:rsidR="002D13F1" w:rsidRPr="000571F9" w:rsidRDefault="002D13F1" w:rsidP="00A01D3D">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0571F9">
              <w:rPr>
                <w:sz w:val="20"/>
                <w:szCs w:val="20"/>
              </w:rPr>
              <w:t>31.03.22</w:t>
            </w:r>
          </w:p>
          <w:p w14:paraId="23B2656A" w14:textId="351B728F" w:rsidR="002D13F1" w:rsidRPr="000571F9" w:rsidRDefault="002D13F1"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Actual</w:t>
            </w:r>
          </w:p>
          <w:p w14:paraId="0DE94783" w14:textId="77777777" w:rsidR="002D13F1" w:rsidRPr="000571F9" w:rsidRDefault="002D13F1"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074" w:type="dxa"/>
          </w:tcPr>
          <w:p w14:paraId="49692250" w14:textId="083DCEBA" w:rsidR="002D13F1" w:rsidRPr="000571F9" w:rsidRDefault="002D13F1"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31.03.23 Estimate</w:t>
            </w:r>
          </w:p>
          <w:p w14:paraId="615639F7" w14:textId="77777777" w:rsidR="002D13F1" w:rsidRPr="000571F9" w:rsidRDefault="002D13F1"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074" w:type="dxa"/>
          </w:tcPr>
          <w:p w14:paraId="43FAAFF1" w14:textId="4923EF93" w:rsidR="002D13F1" w:rsidRPr="000571F9" w:rsidRDefault="002D13F1"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31.03.24 Estimate</w:t>
            </w:r>
          </w:p>
          <w:p w14:paraId="033C8A05" w14:textId="77777777" w:rsidR="002D13F1" w:rsidRPr="000571F9" w:rsidRDefault="002D13F1"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074" w:type="dxa"/>
          </w:tcPr>
          <w:p w14:paraId="448790A6" w14:textId="5FBB939A" w:rsidR="002D13F1" w:rsidRPr="000571F9" w:rsidRDefault="002D13F1"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31.03.25Estimate</w:t>
            </w:r>
          </w:p>
          <w:p w14:paraId="1FC4F7F1" w14:textId="77777777" w:rsidR="002D13F1" w:rsidRPr="000571F9" w:rsidRDefault="002D13F1"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074" w:type="dxa"/>
          </w:tcPr>
          <w:p w14:paraId="6268958A" w14:textId="20E86109" w:rsidR="002D13F1" w:rsidRPr="000571F9" w:rsidRDefault="002D13F1"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31.03.26 Estimate</w:t>
            </w:r>
          </w:p>
          <w:p w14:paraId="613DC9CA" w14:textId="77777777" w:rsidR="002D13F1" w:rsidRPr="000571F9" w:rsidRDefault="002D13F1"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r>
      <w:tr w:rsidR="002D13F1" w:rsidRPr="000571F9" w14:paraId="34329CAD" w14:textId="7B56EB09" w:rsidTr="002D13F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61" w:type="dxa"/>
            <w:noWrap/>
          </w:tcPr>
          <w:p w14:paraId="503E397D" w14:textId="77777777" w:rsidR="002D13F1" w:rsidRPr="000571F9" w:rsidRDefault="002D13F1" w:rsidP="002D5343">
            <w:pPr>
              <w:rPr>
                <w:bCs w:val="0"/>
                <w:sz w:val="20"/>
                <w:szCs w:val="20"/>
              </w:rPr>
            </w:pPr>
            <w:r w:rsidRPr="000571F9">
              <w:rPr>
                <w:sz w:val="20"/>
                <w:szCs w:val="20"/>
              </w:rPr>
              <w:t xml:space="preserve">Total </w:t>
            </w:r>
          </w:p>
        </w:tc>
        <w:tc>
          <w:tcPr>
            <w:tcW w:w="1074" w:type="dxa"/>
            <w:noWrap/>
          </w:tcPr>
          <w:p w14:paraId="7E304946" w14:textId="16947554" w:rsidR="002D13F1" w:rsidRPr="000571F9" w:rsidRDefault="002D13F1"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5.2</w:t>
            </w:r>
          </w:p>
        </w:tc>
        <w:tc>
          <w:tcPr>
            <w:tcW w:w="1074" w:type="dxa"/>
          </w:tcPr>
          <w:p w14:paraId="1D77EC9B" w14:textId="1D2B140F" w:rsidR="002D13F1" w:rsidRPr="000571F9" w:rsidRDefault="002D13F1"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20.8</w:t>
            </w:r>
          </w:p>
        </w:tc>
        <w:tc>
          <w:tcPr>
            <w:tcW w:w="1074" w:type="dxa"/>
          </w:tcPr>
          <w:p w14:paraId="1CBCB89F" w14:textId="689C3B0C" w:rsidR="002D13F1" w:rsidRPr="000571F9" w:rsidRDefault="002D13F1"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32.0</w:t>
            </w:r>
          </w:p>
        </w:tc>
        <w:tc>
          <w:tcPr>
            <w:tcW w:w="1074" w:type="dxa"/>
          </w:tcPr>
          <w:p w14:paraId="0F037C17" w14:textId="286DD081" w:rsidR="002D13F1" w:rsidRPr="000571F9" w:rsidRDefault="002D13F1"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50.0</w:t>
            </w:r>
          </w:p>
        </w:tc>
        <w:tc>
          <w:tcPr>
            <w:tcW w:w="1074" w:type="dxa"/>
          </w:tcPr>
          <w:p w14:paraId="13BC270B" w14:textId="1BCF32C2" w:rsidR="002D13F1" w:rsidRPr="000571F9" w:rsidRDefault="002D13F1"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65.4</w:t>
            </w:r>
          </w:p>
        </w:tc>
      </w:tr>
    </w:tbl>
    <w:p w14:paraId="7B7EFAFD" w14:textId="01FA722E" w:rsidR="00770E1C" w:rsidRPr="000571F9" w:rsidRDefault="00770E1C" w:rsidP="002D5343">
      <w:r w:rsidRPr="000571F9">
        <w:t xml:space="preserve">The CFR is forecast to </w:t>
      </w:r>
      <w:r w:rsidR="004D5786" w:rsidRPr="000571F9">
        <w:t>increase considerably</w:t>
      </w:r>
      <w:r w:rsidRPr="000571F9">
        <w:t xml:space="preserve"> over the next </w:t>
      </w:r>
      <w:r w:rsidR="00DF42A9" w:rsidRPr="000571F9">
        <w:t>few</w:t>
      </w:r>
      <w:r w:rsidRPr="000571F9">
        <w:t xml:space="preserve"> years as capital expenditure financed by debt outweighs resources </w:t>
      </w:r>
      <w:r w:rsidR="008A5738" w:rsidRPr="000571F9">
        <w:t xml:space="preserve">previously </w:t>
      </w:r>
      <w:r w:rsidRPr="000571F9">
        <w:t>put aside for debt repayment.</w:t>
      </w:r>
    </w:p>
    <w:p w14:paraId="6F956B1D" w14:textId="77777777" w:rsidR="00FA4E58" w:rsidRPr="000571F9" w:rsidRDefault="00FA4E58" w:rsidP="002D5343"/>
    <w:p w14:paraId="12CAC37E" w14:textId="7FF57472" w:rsidR="00D36283" w:rsidRPr="000571F9" w:rsidRDefault="00770E1C" w:rsidP="00FE36A8">
      <w:pPr>
        <w:rPr>
          <w:b/>
          <w:bCs/>
        </w:rPr>
      </w:pPr>
      <w:r w:rsidRPr="000571F9">
        <w:rPr>
          <w:b/>
          <w:bCs/>
        </w:rPr>
        <w:t>Gross Debt and the Capital Financing Requirement</w:t>
      </w:r>
    </w:p>
    <w:p w14:paraId="46233B32" w14:textId="4552417F" w:rsidR="00770E1C" w:rsidRPr="000571F9" w:rsidRDefault="00770E1C" w:rsidP="002D5343">
      <w:r w:rsidRPr="000571F9">
        <w:t xml:space="preserve">In order to ensure that over the </w:t>
      </w:r>
      <w:proofErr w:type="gramStart"/>
      <w:r w:rsidRPr="000571F9">
        <w:t>medium term</w:t>
      </w:r>
      <w:proofErr w:type="gramEnd"/>
      <w:r w:rsidRPr="000571F9">
        <w:t xml:space="preserve"> debt will only be for a capital purpose, the </w:t>
      </w:r>
      <w:r w:rsidR="00657EFA" w:rsidRPr="000571F9">
        <w:t>Commissioner</w:t>
      </w:r>
      <w:r w:rsidRPr="000571F9">
        <w:t xml:space="preserve"> should ensure that debt does not, except in the short term, exceed the total of capital financing requirement in the preceding year plus the estimates of any additional capital financing requirement for the current and next two financial years. This is a key indicator of prudence.</w:t>
      </w:r>
    </w:p>
    <w:tbl>
      <w:tblPr>
        <w:tblStyle w:val="GridTable4-Accent1"/>
        <w:tblW w:w="9105" w:type="dxa"/>
        <w:tblLayout w:type="fixed"/>
        <w:tblLook w:val="04A0" w:firstRow="1" w:lastRow="0" w:firstColumn="1" w:lastColumn="0" w:noHBand="0" w:noVBand="1"/>
      </w:tblPr>
      <w:tblGrid>
        <w:gridCol w:w="2620"/>
        <w:gridCol w:w="1060"/>
        <w:gridCol w:w="1189"/>
        <w:gridCol w:w="1059"/>
        <w:gridCol w:w="1059"/>
        <w:gridCol w:w="1059"/>
        <w:gridCol w:w="1059"/>
      </w:tblGrid>
      <w:tr w:rsidR="00530E12" w:rsidRPr="000571F9" w14:paraId="174630B1" w14:textId="47EFFDA7" w:rsidTr="003C36D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0" w:type="dxa"/>
          </w:tcPr>
          <w:p w14:paraId="50A2D0AB" w14:textId="77777777" w:rsidR="00530E12" w:rsidRPr="000571F9" w:rsidRDefault="00530E12" w:rsidP="00573FBA">
            <w:pPr>
              <w:spacing w:before="0" w:after="0"/>
              <w:rPr>
                <w:b w:val="0"/>
                <w:bCs w:val="0"/>
                <w:sz w:val="20"/>
                <w:szCs w:val="20"/>
              </w:rPr>
            </w:pPr>
            <w:r w:rsidRPr="000571F9">
              <w:rPr>
                <w:sz w:val="20"/>
                <w:szCs w:val="20"/>
              </w:rPr>
              <w:t>Debt</w:t>
            </w:r>
          </w:p>
        </w:tc>
        <w:tc>
          <w:tcPr>
            <w:tcW w:w="1060" w:type="dxa"/>
          </w:tcPr>
          <w:p w14:paraId="2B304C5C" w14:textId="2455C8DE"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0571F9">
              <w:rPr>
                <w:sz w:val="20"/>
                <w:szCs w:val="20"/>
              </w:rPr>
              <w:t>31.03.2</w:t>
            </w:r>
            <w:r w:rsidR="00A24D2A" w:rsidRPr="000571F9">
              <w:rPr>
                <w:sz w:val="20"/>
                <w:szCs w:val="20"/>
              </w:rPr>
              <w:t>2</w:t>
            </w:r>
          </w:p>
          <w:p w14:paraId="76EE239C" w14:textId="68C79679"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Actual</w:t>
            </w:r>
          </w:p>
          <w:p w14:paraId="62C8E58D" w14:textId="28D90EBC"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189" w:type="dxa"/>
          </w:tcPr>
          <w:p w14:paraId="517D14F5" w14:textId="651794F2"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w:t>
            </w:r>
            <w:r w:rsidR="00A24D2A" w:rsidRPr="000571F9">
              <w:rPr>
                <w:sz w:val="20"/>
                <w:szCs w:val="20"/>
              </w:rPr>
              <w:t>3</w:t>
            </w:r>
            <w:r w:rsidRPr="000571F9">
              <w:rPr>
                <w:sz w:val="20"/>
                <w:szCs w:val="20"/>
              </w:rPr>
              <w:t xml:space="preserve"> Estimate</w:t>
            </w:r>
          </w:p>
          <w:p w14:paraId="42F6B41D" w14:textId="4699E421"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059" w:type="dxa"/>
          </w:tcPr>
          <w:p w14:paraId="3C04842A" w14:textId="205B5A15"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w:t>
            </w:r>
            <w:r w:rsidR="00A24D2A" w:rsidRPr="000571F9">
              <w:rPr>
                <w:sz w:val="20"/>
                <w:szCs w:val="20"/>
              </w:rPr>
              <w:t>24</w:t>
            </w:r>
            <w:r w:rsidRPr="000571F9">
              <w:rPr>
                <w:sz w:val="20"/>
                <w:szCs w:val="20"/>
              </w:rPr>
              <w:t xml:space="preserve"> Estimate</w:t>
            </w:r>
          </w:p>
          <w:p w14:paraId="02631B46" w14:textId="144F0D30"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059" w:type="dxa"/>
          </w:tcPr>
          <w:p w14:paraId="6661F1E3" w14:textId="4B5963C7"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w:t>
            </w:r>
            <w:r w:rsidR="00A24D2A" w:rsidRPr="000571F9">
              <w:rPr>
                <w:sz w:val="20"/>
                <w:szCs w:val="20"/>
              </w:rPr>
              <w:t>5</w:t>
            </w:r>
            <w:r w:rsidRPr="000571F9">
              <w:rPr>
                <w:sz w:val="20"/>
                <w:szCs w:val="20"/>
              </w:rPr>
              <w:t xml:space="preserve"> Estimate</w:t>
            </w:r>
          </w:p>
          <w:p w14:paraId="117B8FFB" w14:textId="568970D9"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059" w:type="dxa"/>
          </w:tcPr>
          <w:p w14:paraId="317EFF07" w14:textId="5617C1BA"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w:t>
            </w:r>
            <w:r w:rsidR="00A24D2A" w:rsidRPr="000571F9">
              <w:rPr>
                <w:sz w:val="20"/>
                <w:szCs w:val="20"/>
              </w:rPr>
              <w:t>6</w:t>
            </w:r>
            <w:r w:rsidRPr="000571F9">
              <w:rPr>
                <w:sz w:val="20"/>
                <w:szCs w:val="20"/>
              </w:rPr>
              <w:t xml:space="preserve"> Estimate</w:t>
            </w:r>
          </w:p>
          <w:p w14:paraId="16372F57" w14:textId="700A7333"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059" w:type="dxa"/>
          </w:tcPr>
          <w:p w14:paraId="55970349" w14:textId="2575CC56"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31.03.2</w:t>
            </w:r>
            <w:r w:rsidR="00A24D2A" w:rsidRPr="000571F9">
              <w:rPr>
                <w:sz w:val="20"/>
                <w:szCs w:val="20"/>
              </w:rPr>
              <w:t>7</w:t>
            </w:r>
          </w:p>
          <w:p w14:paraId="2B74845B" w14:textId="77777777"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Estimate</w:t>
            </w:r>
          </w:p>
          <w:p w14:paraId="5CE2C276" w14:textId="7FD8B3BC"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0571F9">
              <w:rPr>
                <w:sz w:val="20"/>
                <w:szCs w:val="20"/>
              </w:rPr>
              <w:t>£m</w:t>
            </w:r>
          </w:p>
        </w:tc>
      </w:tr>
      <w:tr w:rsidR="00530E12" w:rsidRPr="000571F9" w14:paraId="4411876E" w14:textId="024B1E0F" w:rsidTr="003C36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0" w:type="dxa"/>
            <w:noWrap/>
          </w:tcPr>
          <w:p w14:paraId="7AC6C366" w14:textId="1ED22955" w:rsidR="00530E12" w:rsidRPr="000571F9" w:rsidRDefault="00530E12" w:rsidP="002D5343">
            <w:pPr>
              <w:rPr>
                <w:sz w:val="20"/>
                <w:szCs w:val="20"/>
              </w:rPr>
            </w:pPr>
            <w:r w:rsidRPr="000571F9">
              <w:rPr>
                <w:sz w:val="20"/>
                <w:szCs w:val="20"/>
              </w:rPr>
              <w:t>Estimated External Borrowing</w:t>
            </w:r>
          </w:p>
        </w:tc>
        <w:tc>
          <w:tcPr>
            <w:tcW w:w="1060" w:type="dxa"/>
            <w:noWrap/>
          </w:tcPr>
          <w:p w14:paraId="36431CBC" w14:textId="0E6E78DD" w:rsidR="00530E12" w:rsidRPr="000571F9" w:rsidRDefault="00530E1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1.3</w:t>
            </w:r>
          </w:p>
        </w:tc>
        <w:tc>
          <w:tcPr>
            <w:tcW w:w="1189" w:type="dxa"/>
          </w:tcPr>
          <w:p w14:paraId="47B23BBA" w14:textId="6EB20094" w:rsidR="00530E12" w:rsidRPr="000571F9" w:rsidRDefault="00E85D94"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16.9</w:t>
            </w:r>
          </w:p>
        </w:tc>
        <w:tc>
          <w:tcPr>
            <w:tcW w:w="1059" w:type="dxa"/>
          </w:tcPr>
          <w:p w14:paraId="1BAA29D6" w14:textId="29630A9A" w:rsidR="00530E12" w:rsidRPr="000571F9" w:rsidRDefault="00530E1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2</w:t>
            </w:r>
            <w:r w:rsidR="00E85D94" w:rsidRPr="000571F9">
              <w:rPr>
                <w:sz w:val="20"/>
                <w:szCs w:val="20"/>
              </w:rPr>
              <w:t>8</w:t>
            </w:r>
            <w:r w:rsidRPr="000571F9">
              <w:rPr>
                <w:sz w:val="20"/>
                <w:szCs w:val="20"/>
              </w:rPr>
              <w:t>.</w:t>
            </w:r>
            <w:r w:rsidR="00E85D94" w:rsidRPr="000571F9">
              <w:rPr>
                <w:sz w:val="20"/>
                <w:szCs w:val="20"/>
              </w:rPr>
              <w:t>1</w:t>
            </w:r>
          </w:p>
        </w:tc>
        <w:tc>
          <w:tcPr>
            <w:tcW w:w="1059" w:type="dxa"/>
          </w:tcPr>
          <w:p w14:paraId="6A13B35B" w14:textId="24E61DAD" w:rsidR="00530E12" w:rsidRPr="000571F9" w:rsidRDefault="00530E1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46.0</w:t>
            </w:r>
          </w:p>
        </w:tc>
        <w:tc>
          <w:tcPr>
            <w:tcW w:w="1059" w:type="dxa"/>
          </w:tcPr>
          <w:p w14:paraId="10D4A83E" w14:textId="5F13DF45" w:rsidR="00530E12" w:rsidRPr="000571F9" w:rsidRDefault="00E85D94"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61.4</w:t>
            </w:r>
          </w:p>
        </w:tc>
        <w:tc>
          <w:tcPr>
            <w:tcW w:w="1059" w:type="dxa"/>
          </w:tcPr>
          <w:p w14:paraId="16CCDC3A" w14:textId="58540B96" w:rsidR="00530E12" w:rsidRPr="000571F9" w:rsidRDefault="00E85D94"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65.1</w:t>
            </w:r>
          </w:p>
        </w:tc>
      </w:tr>
      <w:tr w:rsidR="00530E12" w:rsidRPr="000571F9" w14:paraId="1464B6F1" w14:textId="4C294815" w:rsidTr="003C36D7">
        <w:trPr>
          <w:trHeight w:val="397"/>
        </w:trPr>
        <w:tc>
          <w:tcPr>
            <w:cnfStyle w:val="001000000000" w:firstRow="0" w:lastRow="0" w:firstColumn="1" w:lastColumn="0" w:oddVBand="0" w:evenVBand="0" w:oddHBand="0" w:evenHBand="0" w:firstRowFirstColumn="0" w:firstRowLastColumn="0" w:lastRowFirstColumn="0" w:lastRowLastColumn="0"/>
            <w:tcW w:w="2620" w:type="dxa"/>
            <w:noWrap/>
          </w:tcPr>
          <w:p w14:paraId="44655318" w14:textId="1F57B74E" w:rsidR="00530E12" w:rsidRPr="000571F9" w:rsidRDefault="00530E12" w:rsidP="002D5343">
            <w:pPr>
              <w:rPr>
                <w:sz w:val="20"/>
                <w:szCs w:val="20"/>
              </w:rPr>
            </w:pPr>
            <w:r w:rsidRPr="000571F9">
              <w:rPr>
                <w:sz w:val="20"/>
                <w:szCs w:val="20"/>
              </w:rPr>
              <w:t>CFR &amp; 2 Years Borrowing</w:t>
            </w:r>
          </w:p>
        </w:tc>
        <w:tc>
          <w:tcPr>
            <w:tcW w:w="1060" w:type="dxa"/>
            <w:noWrap/>
          </w:tcPr>
          <w:p w14:paraId="7E319FD9" w14:textId="2B2AAEEC" w:rsidR="00530E12" w:rsidRPr="000571F9" w:rsidRDefault="00225E7B"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34.6</w:t>
            </w:r>
          </w:p>
        </w:tc>
        <w:tc>
          <w:tcPr>
            <w:tcW w:w="1189" w:type="dxa"/>
          </w:tcPr>
          <w:p w14:paraId="50CE49C2" w14:textId="24A80437" w:rsidR="00530E12" w:rsidRPr="000571F9" w:rsidRDefault="00225E7B"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50.2</w:t>
            </w:r>
          </w:p>
        </w:tc>
        <w:tc>
          <w:tcPr>
            <w:tcW w:w="1059" w:type="dxa"/>
          </w:tcPr>
          <w:p w14:paraId="14F0701F" w14:textId="23FA4E0C" w:rsidR="00530E12" w:rsidRPr="000571F9" w:rsidRDefault="00225E7B"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65.9</w:t>
            </w:r>
          </w:p>
        </w:tc>
        <w:tc>
          <w:tcPr>
            <w:tcW w:w="1059" w:type="dxa"/>
          </w:tcPr>
          <w:p w14:paraId="670A042A" w14:textId="5E554579" w:rsidR="00530E12" w:rsidRPr="000571F9" w:rsidRDefault="00225E7B"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69.9</w:t>
            </w:r>
          </w:p>
        </w:tc>
        <w:tc>
          <w:tcPr>
            <w:tcW w:w="1059" w:type="dxa"/>
          </w:tcPr>
          <w:p w14:paraId="064EB43A" w14:textId="22BE4F63" w:rsidR="00530E12" w:rsidRPr="000571F9" w:rsidRDefault="00225E7B"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72.9</w:t>
            </w:r>
          </w:p>
        </w:tc>
        <w:tc>
          <w:tcPr>
            <w:tcW w:w="1059" w:type="dxa"/>
          </w:tcPr>
          <w:p w14:paraId="66BF2225" w14:textId="57C70AB3" w:rsidR="00530E12" w:rsidRPr="000571F9" w:rsidRDefault="00225E7B"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76.9</w:t>
            </w:r>
          </w:p>
        </w:tc>
      </w:tr>
    </w:tbl>
    <w:p w14:paraId="1F7FD38B" w14:textId="06813BCB" w:rsidR="00FC6A18" w:rsidRPr="004A501B" w:rsidRDefault="00FC6A18" w:rsidP="002D5343">
      <w:r w:rsidRPr="000571F9">
        <w:t xml:space="preserve">The table above shows the </w:t>
      </w:r>
      <w:r w:rsidR="003C36D7" w:rsidRPr="000571F9">
        <w:t>Commissioner</w:t>
      </w:r>
      <w:r w:rsidRPr="000571F9">
        <w:t xml:space="preserve"> will not breach this prudential indicator.</w:t>
      </w:r>
      <w:r w:rsidRPr="004A501B">
        <w:t xml:space="preserve"> </w:t>
      </w:r>
    </w:p>
    <w:p w14:paraId="29107DAB" w14:textId="77777777" w:rsidR="0054185E" w:rsidRDefault="0054185E" w:rsidP="0054185E">
      <w:pPr>
        <w:spacing w:before="0" w:after="0" w:line="240" w:lineRule="auto"/>
        <w:rPr>
          <w:b/>
          <w:bCs/>
        </w:rPr>
      </w:pPr>
    </w:p>
    <w:p w14:paraId="5C391135" w14:textId="17C9856E" w:rsidR="00770E1C" w:rsidRPr="000571F9" w:rsidRDefault="00770E1C" w:rsidP="0054185E">
      <w:pPr>
        <w:spacing w:before="0" w:after="0" w:line="240" w:lineRule="auto"/>
        <w:rPr>
          <w:b/>
          <w:bCs/>
        </w:rPr>
      </w:pPr>
      <w:r w:rsidRPr="000571F9">
        <w:rPr>
          <w:b/>
          <w:bCs/>
        </w:rPr>
        <w:t>Operational Boundary for External Debt</w:t>
      </w:r>
    </w:p>
    <w:p w14:paraId="1455F805" w14:textId="0C394913" w:rsidR="00770E1C" w:rsidRPr="000571F9" w:rsidRDefault="00770E1C" w:rsidP="002D5343">
      <w:r w:rsidRPr="000571F9">
        <w:t xml:space="preserve">The operational boundary is based on the </w:t>
      </w:r>
      <w:r w:rsidR="00657EFA" w:rsidRPr="000571F9">
        <w:t>Commissioner</w:t>
      </w:r>
      <w:r w:rsidRPr="000571F9">
        <w:t xml:space="preserve">’s estimate of most likely </w:t>
      </w:r>
      <w:proofErr w:type="gramStart"/>
      <w:r w:rsidRPr="000571F9">
        <w:t>i.e.</w:t>
      </w:r>
      <w:proofErr w:type="gramEnd"/>
      <w:r w:rsidRPr="000571F9">
        <w:t xml:space="preserve"> prudent but not worst case scenario for external debt. It links to the </w:t>
      </w:r>
      <w:r w:rsidR="00657EFA" w:rsidRPr="000571F9">
        <w:t>Commissioner</w:t>
      </w:r>
      <w:r w:rsidRPr="000571F9">
        <w:t xml:space="preserve">’s estimates of capital expenditure, the </w:t>
      </w:r>
      <w:proofErr w:type="gramStart"/>
      <w:r w:rsidRPr="000571F9">
        <w:t>CFR</w:t>
      </w:r>
      <w:proofErr w:type="gramEnd"/>
      <w:r w:rsidRPr="000571F9">
        <w:t xml:space="preserve"> and cash</w:t>
      </w:r>
      <w:r w:rsidR="00407560" w:rsidRPr="000571F9">
        <w:t xml:space="preserve"> </w:t>
      </w:r>
      <w:r w:rsidRPr="000571F9">
        <w:t xml:space="preserve">flow requirements, and is a key management tool for in-year monitoring. Other long-term liabilities comprise finance lease, Private Finance Initiative and other liabilities which are not borrowing but form part of the </w:t>
      </w:r>
      <w:r w:rsidR="00657EFA" w:rsidRPr="000571F9">
        <w:t>Commissioner</w:t>
      </w:r>
      <w:r w:rsidRPr="000571F9">
        <w:t>’s debt.</w:t>
      </w:r>
    </w:p>
    <w:tbl>
      <w:tblPr>
        <w:tblStyle w:val="GridTable4-Accent1"/>
        <w:tblW w:w="9116" w:type="dxa"/>
        <w:tblInd w:w="-5" w:type="dxa"/>
        <w:tblLayout w:type="fixed"/>
        <w:tblLook w:val="04A0" w:firstRow="1" w:lastRow="0" w:firstColumn="1" w:lastColumn="0" w:noHBand="0" w:noVBand="1"/>
      </w:tblPr>
      <w:tblGrid>
        <w:gridCol w:w="3261"/>
        <w:gridCol w:w="1134"/>
        <w:gridCol w:w="1134"/>
        <w:gridCol w:w="1134"/>
        <w:gridCol w:w="1134"/>
        <w:gridCol w:w="1319"/>
      </w:tblGrid>
      <w:tr w:rsidR="00530E12" w:rsidRPr="000571F9" w14:paraId="1EDEEA39" w14:textId="6D13E645" w:rsidTr="0065623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1F75BDEB" w14:textId="77777777" w:rsidR="00530E12" w:rsidRPr="000571F9" w:rsidRDefault="00530E12" w:rsidP="00FB10AD">
            <w:pPr>
              <w:spacing w:before="0" w:after="0"/>
              <w:rPr>
                <w:b w:val="0"/>
                <w:bCs w:val="0"/>
                <w:sz w:val="20"/>
                <w:szCs w:val="20"/>
              </w:rPr>
            </w:pPr>
            <w:r w:rsidRPr="000571F9">
              <w:rPr>
                <w:bCs w:val="0"/>
                <w:sz w:val="20"/>
                <w:szCs w:val="20"/>
              </w:rPr>
              <w:br w:type="page"/>
            </w:r>
            <w:r w:rsidRPr="000571F9">
              <w:rPr>
                <w:sz w:val="20"/>
                <w:szCs w:val="20"/>
              </w:rPr>
              <w:t>Operational Boundary</w:t>
            </w:r>
          </w:p>
        </w:tc>
        <w:tc>
          <w:tcPr>
            <w:tcW w:w="1134" w:type="dxa"/>
            <w:vAlign w:val="center"/>
          </w:tcPr>
          <w:p w14:paraId="16D5A10C" w14:textId="573832D7"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w:t>
            </w:r>
            <w:r w:rsidR="00A24D2A" w:rsidRPr="000571F9">
              <w:rPr>
                <w:sz w:val="20"/>
                <w:szCs w:val="20"/>
              </w:rPr>
              <w:t>3</w:t>
            </w:r>
            <w:r w:rsidRPr="000571F9">
              <w:rPr>
                <w:sz w:val="20"/>
                <w:szCs w:val="20"/>
              </w:rPr>
              <w:t xml:space="preserve"> Estimate</w:t>
            </w:r>
          </w:p>
          <w:p w14:paraId="2E65F7D2" w14:textId="1C8FF98A"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134" w:type="dxa"/>
            <w:vAlign w:val="center"/>
          </w:tcPr>
          <w:p w14:paraId="6E1BDBB5" w14:textId="711F8495"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w:t>
            </w:r>
            <w:r w:rsidR="00A24D2A" w:rsidRPr="000571F9">
              <w:rPr>
                <w:sz w:val="20"/>
                <w:szCs w:val="20"/>
              </w:rPr>
              <w:t>4</w:t>
            </w:r>
            <w:r w:rsidRPr="000571F9">
              <w:rPr>
                <w:sz w:val="20"/>
                <w:szCs w:val="20"/>
              </w:rPr>
              <w:t xml:space="preserve"> Estimate</w:t>
            </w:r>
          </w:p>
          <w:p w14:paraId="0C87FF40" w14:textId="3DC892DC"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134" w:type="dxa"/>
            <w:vAlign w:val="center"/>
          </w:tcPr>
          <w:p w14:paraId="4A36AF3D" w14:textId="47887767"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w:t>
            </w:r>
            <w:r w:rsidR="00A24D2A" w:rsidRPr="000571F9">
              <w:rPr>
                <w:sz w:val="20"/>
                <w:szCs w:val="20"/>
              </w:rPr>
              <w:t>5</w:t>
            </w:r>
            <w:r w:rsidRPr="000571F9">
              <w:rPr>
                <w:sz w:val="20"/>
                <w:szCs w:val="20"/>
              </w:rPr>
              <w:t xml:space="preserve"> Estimate</w:t>
            </w:r>
          </w:p>
          <w:p w14:paraId="41110131" w14:textId="2EED9259"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134" w:type="dxa"/>
            <w:vAlign w:val="center"/>
          </w:tcPr>
          <w:p w14:paraId="025BD7E9" w14:textId="264A18FF"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w:t>
            </w:r>
            <w:r w:rsidR="00A24D2A" w:rsidRPr="000571F9">
              <w:rPr>
                <w:sz w:val="20"/>
                <w:szCs w:val="20"/>
              </w:rPr>
              <w:t xml:space="preserve">6 </w:t>
            </w:r>
            <w:r w:rsidRPr="000571F9">
              <w:rPr>
                <w:sz w:val="20"/>
                <w:szCs w:val="20"/>
              </w:rPr>
              <w:t>Estimate</w:t>
            </w:r>
          </w:p>
          <w:p w14:paraId="50CA1E6D" w14:textId="1876B454"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319" w:type="dxa"/>
            <w:vAlign w:val="center"/>
          </w:tcPr>
          <w:p w14:paraId="74FE1D60" w14:textId="1F042042"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31.03.2</w:t>
            </w:r>
            <w:r w:rsidR="00A24D2A" w:rsidRPr="000571F9">
              <w:rPr>
                <w:sz w:val="20"/>
                <w:szCs w:val="20"/>
              </w:rPr>
              <w:t xml:space="preserve">7 </w:t>
            </w:r>
            <w:r w:rsidRPr="000571F9">
              <w:rPr>
                <w:sz w:val="20"/>
                <w:szCs w:val="20"/>
              </w:rPr>
              <w:t>Estimate</w:t>
            </w:r>
          </w:p>
          <w:p w14:paraId="53B9EDA6" w14:textId="77777777" w:rsidR="00530E12" w:rsidRPr="000571F9" w:rsidRDefault="00530E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r>
      <w:tr w:rsidR="00530E12" w:rsidRPr="000571F9" w14:paraId="322CF331" w14:textId="57488CA4" w:rsidTr="006562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1" w:type="dxa"/>
            <w:noWrap/>
            <w:vAlign w:val="center"/>
          </w:tcPr>
          <w:p w14:paraId="68CC5C47" w14:textId="77777777" w:rsidR="00530E12" w:rsidRPr="000571F9" w:rsidRDefault="00530E12" w:rsidP="002D5343">
            <w:pPr>
              <w:rPr>
                <w:sz w:val="20"/>
                <w:szCs w:val="20"/>
              </w:rPr>
            </w:pPr>
            <w:r w:rsidRPr="000571F9">
              <w:rPr>
                <w:sz w:val="20"/>
                <w:szCs w:val="20"/>
              </w:rPr>
              <w:t>Borrowing</w:t>
            </w:r>
          </w:p>
        </w:tc>
        <w:tc>
          <w:tcPr>
            <w:tcW w:w="1134" w:type="dxa"/>
            <w:noWrap/>
            <w:vAlign w:val="center"/>
          </w:tcPr>
          <w:p w14:paraId="02FD0C41" w14:textId="0EB9EB79" w:rsidR="00530E12" w:rsidRPr="000571F9" w:rsidRDefault="000B5B6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25.0</w:t>
            </w:r>
          </w:p>
        </w:tc>
        <w:tc>
          <w:tcPr>
            <w:tcW w:w="1134" w:type="dxa"/>
            <w:vAlign w:val="center"/>
          </w:tcPr>
          <w:p w14:paraId="40CBC1C6" w14:textId="74655069" w:rsidR="00530E12" w:rsidRPr="000571F9" w:rsidRDefault="000B5B6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35.0</w:t>
            </w:r>
          </w:p>
        </w:tc>
        <w:tc>
          <w:tcPr>
            <w:tcW w:w="1134" w:type="dxa"/>
            <w:vAlign w:val="center"/>
          </w:tcPr>
          <w:p w14:paraId="63D5B08E" w14:textId="74601990" w:rsidR="00530E12" w:rsidRPr="000571F9" w:rsidRDefault="000B5B6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55.0</w:t>
            </w:r>
          </w:p>
        </w:tc>
        <w:tc>
          <w:tcPr>
            <w:tcW w:w="1134" w:type="dxa"/>
            <w:vAlign w:val="center"/>
          </w:tcPr>
          <w:p w14:paraId="17E33073" w14:textId="3601793A" w:rsidR="00530E12" w:rsidRPr="000571F9" w:rsidRDefault="000B5B6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70.0</w:t>
            </w:r>
          </w:p>
        </w:tc>
        <w:tc>
          <w:tcPr>
            <w:tcW w:w="1319" w:type="dxa"/>
            <w:vAlign w:val="center"/>
          </w:tcPr>
          <w:p w14:paraId="01C65EBC" w14:textId="7B8D3408" w:rsidR="00530E12" w:rsidRPr="000571F9" w:rsidRDefault="000B5B6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75</w:t>
            </w:r>
            <w:r w:rsidR="00530E12" w:rsidRPr="000571F9">
              <w:rPr>
                <w:sz w:val="20"/>
                <w:szCs w:val="20"/>
              </w:rPr>
              <w:t>.0</w:t>
            </w:r>
          </w:p>
        </w:tc>
      </w:tr>
      <w:tr w:rsidR="00530E12" w:rsidRPr="000571F9" w14:paraId="09786706" w14:textId="10CB0455" w:rsidTr="0065623A">
        <w:trPr>
          <w:trHeight w:val="567"/>
        </w:trPr>
        <w:tc>
          <w:tcPr>
            <w:cnfStyle w:val="001000000000" w:firstRow="0" w:lastRow="0" w:firstColumn="1" w:lastColumn="0" w:oddVBand="0" w:evenVBand="0" w:oddHBand="0" w:evenHBand="0" w:firstRowFirstColumn="0" w:firstRowLastColumn="0" w:lastRowFirstColumn="0" w:lastRowLastColumn="0"/>
            <w:tcW w:w="3261" w:type="dxa"/>
            <w:noWrap/>
            <w:vAlign w:val="center"/>
          </w:tcPr>
          <w:p w14:paraId="017A6EAE" w14:textId="77777777" w:rsidR="00530E12" w:rsidRPr="000571F9" w:rsidRDefault="00530E12" w:rsidP="002D5343">
            <w:pPr>
              <w:rPr>
                <w:sz w:val="20"/>
                <w:szCs w:val="20"/>
              </w:rPr>
            </w:pPr>
            <w:r w:rsidRPr="000571F9">
              <w:rPr>
                <w:sz w:val="20"/>
                <w:szCs w:val="20"/>
              </w:rPr>
              <w:t>Other long-term liabilities</w:t>
            </w:r>
          </w:p>
        </w:tc>
        <w:tc>
          <w:tcPr>
            <w:tcW w:w="1134" w:type="dxa"/>
            <w:noWrap/>
            <w:vAlign w:val="center"/>
          </w:tcPr>
          <w:p w14:paraId="50F4C574" w14:textId="77777777" w:rsidR="00530E12" w:rsidRPr="000571F9" w:rsidRDefault="00530E12"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1.0</w:t>
            </w:r>
          </w:p>
        </w:tc>
        <w:tc>
          <w:tcPr>
            <w:tcW w:w="1134" w:type="dxa"/>
            <w:vAlign w:val="center"/>
          </w:tcPr>
          <w:p w14:paraId="5947CE7A" w14:textId="77777777" w:rsidR="00530E12" w:rsidRPr="000571F9" w:rsidRDefault="00530E12"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1.0</w:t>
            </w:r>
          </w:p>
        </w:tc>
        <w:tc>
          <w:tcPr>
            <w:tcW w:w="1134" w:type="dxa"/>
            <w:vAlign w:val="center"/>
          </w:tcPr>
          <w:p w14:paraId="32C913BC" w14:textId="77777777" w:rsidR="00530E12" w:rsidRPr="000571F9" w:rsidRDefault="00530E12"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1.0</w:t>
            </w:r>
          </w:p>
        </w:tc>
        <w:tc>
          <w:tcPr>
            <w:tcW w:w="1134" w:type="dxa"/>
            <w:vAlign w:val="center"/>
          </w:tcPr>
          <w:p w14:paraId="6706DEF9" w14:textId="77777777" w:rsidR="00530E12" w:rsidRPr="000571F9" w:rsidRDefault="00530E12"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1.0</w:t>
            </w:r>
          </w:p>
        </w:tc>
        <w:tc>
          <w:tcPr>
            <w:tcW w:w="1319" w:type="dxa"/>
            <w:vAlign w:val="center"/>
          </w:tcPr>
          <w:p w14:paraId="0DA4E1D5" w14:textId="77777777" w:rsidR="00530E12" w:rsidRPr="000571F9" w:rsidRDefault="00530E12"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1.0</w:t>
            </w:r>
          </w:p>
        </w:tc>
      </w:tr>
      <w:tr w:rsidR="00530E12" w:rsidRPr="000571F9" w14:paraId="5F96736E" w14:textId="471BAB30" w:rsidTr="006562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1" w:type="dxa"/>
            <w:noWrap/>
            <w:vAlign w:val="center"/>
          </w:tcPr>
          <w:p w14:paraId="6B14FEF5" w14:textId="77777777" w:rsidR="00530E12" w:rsidRPr="000571F9" w:rsidRDefault="00530E12" w:rsidP="002D5343">
            <w:pPr>
              <w:rPr>
                <w:b w:val="0"/>
                <w:bCs w:val="0"/>
                <w:sz w:val="20"/>
                <w:szCs w:val="20"/>
              </w:rPr>
            </w:pPr>
            <w:r w:rsidRPr="000571F9">
              <w:rPr>
                <w:sz w:val="20"/>
                <w:szCs w:val="20"/>
              </w:rPr>
              <w:t>Total Debt</w:t>
            </w:r>
          </w:p>
        </w:tc>
        <w:tc>
          <w:tcPr>
            <w:tcW w:w="1134" w:type="dxa"/>
            <w:noWrap/>
            <w:vAlign w:val="center"/>
          </w:tcPr>
          <w:p w14:paraId="1F85FC89" w14:textId="72157FCD" w:rsidR="00530E12" w:rsidRPr="000571F9" w:rsidRDefault="000B5B6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26</w:t>
            </w:r>
            <w:r w:rsidR="00530E12" w:rsidRPr="000571F9">
              <w:rPr>
                <w:sz w:val="20"/>
                <w:szCs w:val="20"/>
              </w:rPr>
              <w:t>.0</w:t>
            </w:r>
          </w:p>
        </w:tc>
        <w:tc>
          <w:tcPr>
            <w:tcW w:w="1134" w:type="dxa"/>
            <w:vAlign w:val="center"/>
          </w:tcPr>
          <w:p w14:paraId="7235CD3D" w14:textId="269DF465" w:rsidR="00530E12" w:rsidRPr="000571F9" w:rsidRDefault="00530E1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3</w:t>
            </w:r>
            <w:r w:rsidR="000B5B62" w:rsidRPr="000571F9">
              <w:rPr>
                <w:sz w:val="20"/>
                <w:szCs w:val="20"/>
              </w:rPr>
              <w:t>6</w:t>
            </w:r>
            <w:r w:rsidRPr="000571F9">
              <w:rPr>
                <w:sz w:val="20"/>
                <w:szCs w:val="20"/>
              </w:rPr>
              <w:t>.0</w:t>
            </w:r>
          </w:p>
        </w:tc>
        <w:tc>
          <w:tcPr>
            <w:tcW w:w="1134" w:type="dxa"/>
            <w:vAlign w:val="center"/>
          </w:tcPr>
          <w:p w14:paraId="150F8337" w14:textId="13641B0B" w:rsidR="00530E12" w:rsidRPr="000571F9" w:rsidRDefault="00530E1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5</w:t>
            </w:r>
            <w:r w:rsidR="000B5B62" w:rsidRPr="000571F9">
              <w:rPr>
                <w:sz w:val="20"/>
                <w:szCs w:val="20"/>
              </w:rPr>
              <w:t>6</w:t>
            </w:r>
            <w:r w:rsidRPr="000571F9">
              <w:rPr>
                <w:sz w:val="20"/>
                <w:szCs w:val="20"/>
              </w:rPr>
              <w:t>.0</w:t>
            </w:r>
          </w:p>
        </w:tc>
        <w:tc>
          <w:tcPr>
            <w:tcW w:w="1134" w:type="dxa"/>
            <w:vAlign w:val="center"/>
          </w:tcPr>
          <w:p w14:paraId="0F2997BF" w14:textId="581ECF9A" w:rsidR="00530E12" w:rsidRPr="000571F9" w:rsidRDefault="000B5B6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7</w:t>
            </w:r>
            <w:r w:rsidR="00530E12" w:rsidRPr="000571F9">
              <w:rPr>
                <w:sz w:val="20"/>
                <w:szCs w:val="20"/>
              </w:rPr>
              <w:t>1.0</w:t>
            </w:r>
          </w:p>
        </w:tc>
        <w:tc>
          <w:tcPr>
            <w:tcW w:w="1319" w:type="dxa"/>
            <w:vAlign w:val="center"/>
          </w:tcPr>
          <w:p w14:paraId="49AF27CB" w14:textId="2C66C7D3" w:rsidR="00530E12" w:rsidRPr="000571F9" w:rsidRDefault="000B5B62"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7</w:t>
            </w:r>
            <w:r w:rsidR="00530E12" w:rsidRPr="000571F9">
              <w:rPr>
                <w:sz w:val="20"/>
                <w:szCs w:val="20"/>
              </w:rPr>
              <w:t>6.0</w:t>
            </w:r>
          </w:p>
        </w:tc>
      </w:tr>
    </w:tbl>
    <w:p w14:paraId="5D183E65" w14:textId="1C81E2E4" w:rsidR="00F34E34" w:rsidRPr="000571F9" w:rsidRDefault="00F34E34" w:rsidP="002D5343">
      <w:pPr>
        <w:rPr>
          <w:sz w:val="20"/>
          <w:szCs w:val="20"/>
        </w:rPr>
      </w:pPr>
    </w:p>
    <w:p w14:paraId="47A4DCA6" w14:textId="574E4AE9" w:rsidR="00770E1C" w:rsidRPr="000571F9" w:rsidRDefault="000C6B83" w:rsidP="00FE36A8">
      <w:pPr>
        <w:rPr>
          <w:b/>
          <w:bCs/>
        </w:rPr>
      </w:pPr>
      <w:r w:rsidRPr="000571F9">
        <w:rPr>
          <w:b/>
          <w:bCs/>
        </w:rPr>
        <w:t>Authorised L</w:t>
      </w:r>
      <w:r w:rsidR="00770E1C" w:rsidRPr="000571F9">
        <w:rPr>
          <w:b/>
          <w:bCs/>
        </w:rPr>
        <w:t>imit for External Debt</w:t>
      </w:r>
    </w:p>
    <w:p w14:paraId="1AB19D28" w14:textId="0FCA12FC" w:rsidR="00770E1C" w:rsidRPr="000571F9" w:rsidRDefault="00770E1C" w:rsidP="002D5343">
      <w:r w:rsidRPr="000571F9">
        <w:t xml:space="preserve">The authorised limit is the affordable borrowing limit determined in compliance with the Local Government Act 2003. It is the maximum amount of debt that the </w:t>
      </w:r>
      <w:r w:rsidR="00657EFA" w:rsidRPr="000571F9">
        <w:t>Commissioner</w:t>
      </w:r>
      <w:r w:rsidRPr="000571F9">
        <w:t xml:space="preserve"> can legally owe. The authorised limit provides headroom over and above the operational boundary for unusual cash movements.</w:t>
      </w:r>
    </w:p>
    <w:tbl>
      <w:tblPr>
        <w:tblStyle w:val="GridTable4-Accent1"/>
        <w:tblW w:w="9072" w:type="dxa"/>
        <w:tblInd w:w="-5" w:type="dxa"/>
        <w:tblLayout w:type="fixed"/>
        <w:tblLook w:val="04A0" w:firstRow="1" w:lastRow="0" w:firstColumn="1" w:lastColumn="0" w:noHBand="0" w:noVBand="1"/>
      </w:tblPr>
      <w:tblGrid>
        <w:gridCol w:w="2835"/>
        <w:gridCol w:w="1276"/>
        <w:gridCol w:w="1276"/>
        <w:gridCol w:w="1276"/>
        <w:gridCol w:w="1275"/>
        <w:gridCol w:w="1134"/>
      </w:tblGrid>
      <w:tr w:rsidR="006C3BD4" w:rsidRPr="000571F9" w14:paraId="43188164" w14:textId="77777777" w:rsidTr="00FB10A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B73D25C" w14:textId="77777777" w:rsidR="006C3BD4" w:rsidRPr="000571F9" w:rsidRDefault="006C3BD4" w:rsidP="00FB10AD">
            <w:pPr>
              <w:spacing w:before="0" w:after="0"/>
              <w:rPr>
                <w:b w:val="0"/>
                <w:bCs w:val="0"/>
                <w:sz w:val="20"/>
                <w:szCs w:val="20"/>
              </w:rPr>
            </w:pPr>
            <w:r w:rsidRPr="000571F9">
              <w:rPr>
                <w:sz w:val="20"/>
                <w:szCs w:val="20"/>
              </w:rPr>
              <w:t>Authorised Limit</w:t>
            </w:r>
          </w:p>
        </w:tc>
        <w:tc>
          <w:tcPr>
            <w:tcW w:w="1276" w:type="dxa"/>
            <w:vAlign w:val="center"/>
          </w:tcPr>
          <w:p w14:paraId="476A8C10" w14:textId="2B8F0E9A" w:rsidR="006C3BD4" w:rsidRPr="000571F9" w:rsidRDefault="006C3BD4" w:rsidP="0080793E">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202</w:t>
            </w:r>
            <w:r w:rsidR="00345A45" w:rsidRPr="000571F9">
              <w:rPr>
                <w:sz w:val="20"/>
                <w:szCs w:val="20"/>
              </w:rPr>
              <w:t>2</w:t>
            </w:r>
            <w:r w:rsidRPr="000571F9">
              <w:rPr>
                <w:sz w:val="20"/>
                <w:szCs w:val="20"/>
              </w:rPr>
              <w:t>/2</w:t>
            </w:r>
            <w:r w:rsidR="00345A45" w:rsidRPr="000571F9">
              <w:rPr>
                <w:sz w:val="20"/>
                <w:szCs w:val="20"/>
              </w:rPr>
              <w:t>3</w:t>
            </w:r>
            <w:r w:rsidRPr="000571F9">
              <w:rPr>
                <w:sz w:val="20"/>
                <w:szCs w:val="20"/>
              </w:rPr>
              <w:t xml:space="preserve"> Limit</w:t>
            </w:r>
          </w:p>
          <w:p w14:paraId="32861C54" w14:textId="5D8C1CEC" w:rsidR="006C3BD4" w:rsidRPr="000571F9" w:rsidRDefault="006C3BD4" w:rsidP="0080793E">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276" w:type="dxa"/>
            <w:vAlign w:val="center"/>
          </w:tcPr>
          <w:p w14:paraId="70869622" w14:textId="0363FBC4" w:rsidR="006C3BD4" w:rsidRPr="000571F9" w:rsidRDefault="006C3BD4" w:rsidP="0080793E">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202</w:t>
            </w:r>
            <w:r w:rsidR="00345A45" w:rsidRPr="000571F9">
              <w:rPr>
                <w:sz w:val="20"/>
                <w:szCs w:val="20"/>
              </w:rPr>
              <w:t>3</w:t>
            </w:r>
            <w:r w:rsidRPr="000571F9">
              <w:rPr>
                <w:sz w:val="20"/>
                <w:szCs w:val="20"/>
              </w:rPr>
              <w:t>/2</w:t>
            </w:r>
            <w:r w:rsidR="00345A45" w:rsidRPr="000571F9">
              <w:rPr>
                <w:sz w:val="20"/>
                <w:szCs w:val="20"/>
              </w:rPr>
              <w:t>4</w:t>
            </w:r>
            <w:r w:rsidRPr="000571F9">
              <w:rPr>
                <w:sz w:val="20"/>
                <w:szCs w:val="20"/>
              </w:rPr>
              <w:t xml:space="preserve"> Limit</w:t>
            </w:r>
          </w:p>
          <w:p w14:paraId="49E4F844" w14:textId="763A914E" w:rsidR="006C3BD4" w:rsidRPr="000571F9" w:rsidRDefault="006C3BD4" w:rsidP="0080793E">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276" w:type="dxa"/>
            <w:vAlign w:val="center"/>
          </w:tcPr>
          <w:p w14:paraId="5DAF83F7" w14:textId="02765A20" w:rsidR="006C3BD4" w:rsidRPr="000571F9" w:rsidRDefault="006C3BD4" w:rsidP="0080793E">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202</w:t>
            </w:r>
            <w:r w:rsidR="00345A45" w:rsidRPr="000571F9">
              <w:rPr>
                <w:sz w:val="20"/>
                <w:szCs w:val="20"/>
              </w:rPr>
              <w:t>4</w:t>
            </w:r>
            <w:r w:rsidRPr="000571F9">
              <w:rPr>
                <w:sz w:val="20"/>
                <w:szCs w:val="20"/>
              </w:rPr>
              <w:t>/2</w:t>
            </w:r>
            <w:r w:rsidR="00345A45" w:rsidRPr="000571F9">
              <w:rPr>
                <w:sz w:val="20"/>
                <w:szCs w:val="20"/>
              </w:rPr>
              <w:t>5</w:t>
            </w:r>
            <w:r w:rsidRPr="000571F9">
              <w:rPr>
                <w:sz w:val="20"/>
                <w:szCs w:val="20"/>
              </w:rPr>
              <w:t xml:space="preserve"> Limit</w:t>
            </w:r>
          </w:p>
          <w:p w14:paraId="78F45C79" w14:textId="316677F1" w:rsidR="006C3BD4" w:rsidRPr="000571F9" w:rsidRDefault="006C3BD4" w:rsidP="0080793E">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275" w:type="dxa"/>
            <w:vAlign w:val="center"/>
          </w:tcPr>
          <w:p w14:paraId="78A47A95" w14:textId="0B596C8B" w:rsidR="006C3BD4" w:rsidRPr="000571F9" w:rsidRDefault="006C3BD4" w:rsidP="0080793E">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202</w:t>
            </w:r>
            <w:r w:rsidR="00345A45" w:rsidRPr="000571F9">
              <w:rPr>
                <w:sz w:val="20"/>
                <w:szCs w:val="20"/>
              </w:rPr>
              <w:t>5</w:t>
            </w:r>
            <w:r w:rsidRPr="000571F9">
              <w:rPr>
                <w:sz w:val="20"/>
                <w:szCs w:val="20"/>
              </w:rPr>
              <w:t>/2</w:t>
            </w:r>
            <w:r w:rsidR="00345A45" w:rsidRPr="000571F9">
              <w:rPr>
                <w:sz w:val="20"/>
                <w:szCs w:val="20"/>
              </w:rPr>
              <w:t>6</w:t>
            </w:r>
            <w:r w:rsidRPr="000571F9">
              <w:rPr>
                <w:sz w:val="20"/>
                <w:szCs w:val="20"/>
              </w:rPr>
              <w:t xml:space="preserve"> Limit</w:t>
            </w:r>
          </w:p>
          <w:p w14:paraId="1470B819" w14:textId="58FFAB93" w:rsidR="006C3BD4" w:rsidRPr="000571F9" w:rsidRDefault="006C3BD4" w:rsidP="0080793E">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c>
          <w:tcPr>
            <w:tcW w:w="1134" w:type="dxa"/>
            <w:vAlign w:val="center"/>
          </w:tcPr>
          <w:p w14:paraId="435354AC" w14:textId="2A433C2A" w:rsidR="006C3BD4" w:rsidRPr="000571F9" w:rsidRDefault="006C3BD4" w:rsidP="0080793E">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202</w:t>
            </w:r>
            <w:r w:rsidR="00345A45" w:rsidRPr="000571F9">
              <w:rPr>
                <w:sz w:val="20"/>
                <w:szCs w:val="20"/>
              </w:rPr>
              <w:t>6</w:t>
            </w:r>
            <w:r w:rsidRPr="000571F9">
              <w:rPr>
                <w:sz w:val="20"/>
                <w:szCs w:val="20"/>
              </w:rPr>
              <w:t>/2</w:t>
            </w:r>
            <w:r w:rsidR="00345A45" w:rsidRPr="000571F9">
              <w:rPr>
                <w:sz w:val="20"/>
                <w:szCs w:val="20"/>
              </w:rPr>
              <w:t>7</w:t>
            </w:r>
            <w:r w:rsidRPr="000571F9">
              <w:rPr>
                <w:sz w:val="20"/>
                <w:szCs w:val="20"/>
              </w:rPr>
              <w:t xml:space="preserve"> Limit</w:t>
            </w:r>
          </w:p>
          <w:p w14:paraId="6EE43029" w14:textId="77777777" w:rsidR="006C3BD4" w:rsidRPr="000571F9" w:rsidRDefault="006C3BD4" w:rsidP="0080793E">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£m</w:t>
            </w:r>
          </w:p>
        </w:tc>
      </w:tr>
      <w:tr w:rsidR="00F34E34" w:rsidRPr="000571F9" w14:paraId="615C78AE" w14:textId="77777777" w:rsidTr="00FB10A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1E28B3C5" w14:textId="77777777" w:rsidR="00F34E34" w:rsidRPr="000571F9" w:rsidRDefault="00F34E34" w:rsidP="002D5343">
            <w:pPr>
              <w:rPr>
                <w:sz w:val="20"/>
                <w:szCs w:val="20"/>
              </w:rPr>
            </w:pPr>
            <w:r w:rsidRPr="000571F9">
              <w:rPr>
                <w:sz w:val="20"/>
                <w:szCs w:val="20"/>
              </w:rPr>
              <w:t>Borrowing</w:t>
            </w:r>
          </w:p>
        </w:tc>
        <w:tc>
          <w:tcPr>
            <w:tcW w:w="1276" w:type="dxa"/>
            <w:vAlign w:val="center"/>
          </w:tcPr>
          <w:p w14:paraId="1A854943" w14:textId="77777777" w:rsidR="00F34E34" w:rsidRPr="000571F9" w:rsidRDefault="00F34E34" w:rsidP="0080793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60.0</w:t>
            </w:r>
          </w:p>
        </w:tc>
        <w:tc>
          <w:tcPr>
            <w:tcW w:w="1276" w:type="dxa"/>
            <w:vAlign w:val="center"/>
          </w:tcPr>
          <w:p w14:paraId="065847C4" w14:textId="77777777" w:rsidR="00F34E34" w:rsidRPr="000571F9" w:rsidRDefault="00F34E34" w:rsidP="0080793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60.0</w:t>
            </w:r>
          </w:p>
        </w:tc>
        <w:tc>
          <w:tcPr>
            <w:tcW w:w="1276" w:type="dxa"/>
            <w:vAlign w:val="center"/>
          </w:tcPr>
          <w:p w14:paraId="03C5D511" w14:textId="127006CA" w:rsidR="00F34E34" w:rsidRPr="000571F9" w:rsidRDefault="000B5B62" w:rsidP="0080793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65</w:t>
            </w:r>
            <w:r w:rsidR="00F34E34" w:rsidRPr="000571F9">
              <w:rPr>
                <w:sz w:val="20"/>
                <w:szCs w:val="20"/>
              </w:rPr>
              <w:t>.0</w:t>
            </w:r>
          </w:p>
        </w:tc>
        <w:tc>
          <w:tcPr>
            <w:tcW w:w="1275" w:type="dxa"/>
            <w:vAlign w:val="center"/>
          </w:tcPr>
          <w:p w14:paraId="578B9CC1" w14:textId="4FEADAB5" w:rsidR="00F34E34" w:rsidRPr="000571F9" w:rsidRDefault="000B5B62" w:rsidP="0080793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75</w:t>
            </w:r>
            <w:r w:rsidR="00F34E34" w:rsidRPr="000571F9">
              <w:rPr>
                <w:sz w:val="20"/>
                <w:szCs w:val="20"/>
              </w:rPr>
              <w:t>.0</w:t>
            </w:r>
          </w:p>
        </w:tc>
        <w:tc>
          <w:tcPr>
            <w:tcW w:w="1134" w:type="dxa"/>
            <w:vAlign w:val="center"/>
          </w:tcPr>
          <w:p w14:paraId="22097F11" w14:textId="763747CB" w:rsidR="00F34E34" w:rsidRPr="000571F9" w:rsidRDefault="000B5B62" w:rsidP="0080793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8</w:t>
            </w:r>
            <w:r w:rsidR="006C3BD4" w:rsidRPr="000571F9">
              <w:rPr>
                <w:sz w:val="20"/>
                <w:szCs w:val="20"/>
              </w:rPr>
              <w:t>0</w:t>
            </w:r>
            <w:r w:rsidR="00F34E34" w:rsidRPr="000571F9">
              <w:rPr>
                <w:sz w:val="20"/>
                <w:szCs w:val="20"/>
              </w:rPr>
              <w:t>.0</w:t>
            </w:r>
          </w:p>
        </w:tc>
      </w:tr>
      <w:tr w:rsidR="00F34E34" w:rsidRPr="000571F9" w14:paraId="260F05FB" w14:textId="77777777" w:rsidTr="00FB10AD">
        <w:trPr>
          <w:trHeight w:val="624"/>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338E8C52" w14:textId="77777777" w:rsidR="00F34E34" w:rsidRPr="000571F9" w:rsidRDefault="00F34E34" w:rsidP="002D5343">
            <w:pPr>
              <w:rPr>
                <w:sz w:val="20"/>
                <w:szCs w:val="20"/>
              </w:rPr>
            </w:pPr>
            <w:r w:rsidRPr="000571F9">
              <w:rPr>
                <w:sz w:val="20"/>
                <w:szCs w:val="20"/>
              </w:rPr>
              <w:t>Other long-term liabilities</w:t>
            </w:r>
          </w:p>
        </w:tc>
        <w:tc>
          <w:tcPr>
            <w:tcW w:w="1276" w:type="dxa"/>
            <w:vAlign w:val="center"/>
          </w:tcPr>
          <w:p w14:paraId="7EA9E8D9" w14:textId="77777777" w:rsidR="00F34E34" w:rsidRPr="000571F9" w:rsidRDefault="00F34E34" w:rsidP="0080793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1.0</w:t>
            </w:r>
          </w:p>
        </w:tc>
        <w:tc>
          <w:tcPr>
            <w:tcW w:w="1276" w:type="dxa"/>
            <w:vAlign w:val="center"/>
          </w:tcPr>
          <w:p w14:paraId="5756BC79" w14:textId="77777777" w:rsidR="00F34E34" w:rsidRPr="000571F9" w:rsidRDefault="00F34E34" w:rsidP="0080793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1.0</w:t>
            </w:r>
          </w:p>
        </w:tc>
        <w:tc>
          <w:tcPr>
            <w:tcW w:w="1276" w:type="dxa"/>
            <w:vAlign w:val="center"/>
          </w:tcPr>
          <w:p w14:paraId="358960AC" w14:textId="77777777" w:rsidR="00F34E34" w:rsidRPr="000571F9" w:rsidRDefault="00F34E34" w:rsidP="0080793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1.0</w:t>
            </w:r>
          </w:p>
        </w:tc>
        <w:tc>
          <w:tcPr>
            <w:tcW w:w="1275" w:type="dxa"/>
            <w:vAlign w:val="center"/>
          </w:tcPr>
          <w:p w14:paraId="724E83D8" w14:textId="77777777" w:rsidR="00F34E34" w:rsidRPr="000571F9" w:rsidRDefault="00F34E34" w:rsidP="0080793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1.0</w:t>
            </w:r>
          </w:p>
        </w:tc>
        <w:tc>
          <w:tcPr>
            <w:tcW w:w="1134" w:type="dxa"/>
            <w:vAlign w:val="center"/>
          </w:tcPr>
          <w:p w14:paraId="4924DBBF" w14:textId="77777777" w:rsidR="00F34E34" w:rsidRPr="000571F9" w:rsidRDefault="00F34E34" w:rsidP="0080793E">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1.0</w:t>
            </w:r>
          </w:p>
        </w:tc>
      </w:tr>
      <w:tr w:rsidR="00F34E34" w:rsidRPr="000571F9" w14:paraId="2625E65D" w14:textId="77777777" w:rsidTr="00FB10A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35" w:type="dxa"/>
            <w:noWrap/>
            <w:vAlign w:val="center"/>
          </w:tcPr>
          <w:p w14:paraId="29652EA0" w14:textId="77777777" w:rsidR="00F34E34" w:rsidRPr="000571F9" w:rsidRDefault="00F34E34" w:rsidP="002D5343">
            <w:pPr>
              <w:rPr>
                <w:b w:val="0"/>
                <w:bCs w:val="0"/>
                <w:sz w:val="20"/>
                <w:szCs w:val="20"/>
              </w:rPr>
            </w:pPr>
            <w:r w:rsidRPr="000571F9">
              <w:rPr>
                <w:sz w:val="20"/>
                <w:szCs w:val="20"/>
              </w:rPr>
              <w:t>Total Debt</w:t>
            </w:r>
          </w:p>
        </w:tc>
        <w:tc>
          <w:tcPr>
            <w:tcW w:w="1276" w:type="dxa"/>
            <w:vAlign w:val="center"/>
          </w:tcPr>
          <w:p w14:paraId="29BA6BB2" w14:textId="77777777" w:rsidR="00F34E34" w:rsidRPr="000571F9" w:rsidRDefault="00F34E34" w:rsidP="0080793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61.0</w:t>
            </w:r>
          </w:p>
        </w:tc>
        <w:tc>
          <w:tcPr>
            <w:tcW w:w="1276" w:type="dxa"/>
            <w:vAlign w:val="center"/>
          </w:tcPr>
          <w:p w14:paraId="6FC24EA6" w14:textId="77777777" w:rsidR="00F34E34" w:rsidRPr="000571F9" w:rsidRDefault="00F34E34" w:rsidP="0080793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61.0</w:t>
            </w:r>
          </w:p>
        </w:tc>
        <w:tc>
          <w:tcPr>
            <w:tcW w:w="1276" w:type="dxa"/>
            <w:vAlign w:val="center"/>
          </w:tcPr>
          <w:p w14:paraId="0C501EFC" w14:textId="0319564E" w:rsidR="00F34E34" w:rsidRPr="000571F9" w:rsidRDefault="00F34E34" w:rsidP="0080793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6</w:t>
            </w:r>
            <w:r w:rsidR="000B5B62" w:rsidRPr="000571F9">
              <w:rPr>
                <w:sz w:val="20"/>
                <w:szCs w:val="20"/>
              </w:rPr>
              <w:t>6</w:t>
            </w:r>
            <w:r w:rsidRPr="000571F9">
              <w:rPr>
                <w:sz w:val="20"/>
                <w:szCs w:val="20"/>
              </w:rPr>
              <w:t>.0</w:t>
            </w:r>
          </w:p>
        </w:tc>
        <w:tc>
          <w:tcPr>
            <w:tcW w:w="1275" w:type="dxa"/>
            <w:vAlign w:val="center"/>
          </w:tcPr>
          <w:p w14:paraId="78C15394" w14:textId="5E9DFFED" w:rsidR="00F34E34" w:rsidRPr="000571F9" w:rsidRDefault="000B5B62" w:rsidP="0080793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7</w:t>
            </w:r>
            <w:r w:rsidR="006C3BD4" w:rsidRPr="000571F9">
              <w:rPr>
                <w:sz w:val="20"/>
                <w:szCs w:val="20"/>
              </w:rPr>
              <w:t>6</w:t>
            </w:r>
            <w:r w:rsidR="00F34E34" w:rsidRPr="000571F9">
              <w:rPr>
                <w:sz w:val="20"/>
                <w:szCs w:val="20"/>
              </w:rPr>
              <w:t>.0</w:t>
            </w:r>
          </w:p>
        </w:tc>
        <w:tc>
          <w:tcPr>
            <w:tcW w:w="1134" w:type="dxa"/>
            <w:vAlign w:val="center"/>
          </w:tcPr>
          <w:p w14:paraId="2BB05126" w14:textId="5BB273E8" w:rsidR="00F34E34" w:rsidRPr="000571F9" w:rsidRDefault="000B5B62" w:rsidP="0080793E">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8</w:t>
            </w:r>
            <w:r w:rsidR="006C3BD4" w:rsidRPr="000571F9">
              <w:rPr>
                <w:sz w:val="20"/>
                <w:szCs w:val="20"/>
              </w:rPr>
              <w:t>1</w:t>
            </w:r>
            <w:r w:rsidR="00F34E34" w:rsidRPr="000571F9">
              <w:rPr>
                <w:sz w:val="20"/>
                <w:szCs w:val="20"/>
              </w:rPr>
              <w:t>.0</w:t>
            </w:r>
          </w:p>
        </w:tc>
      </w:tr>
    </w:tbl>
    <w:p w14:paraId="06830762" w14:textId="2C040356" w:rsidR="00F34E34" w:rsidRPr="000571F9" w:rsidRDefault="00F34E34" w:rsidP="002D5343"/>
    <w:p w14:paraId="33321FFA" w14:textId="77777777" w:rsidR="00770E1C" w:rsidRPr="000571F9" w:rsidRDefault="00770E1C" w:rsidP="00FE36A8">
      <w:pPr>
        <w:rPr>
          <w:b/>
          <w:bCs/>
        </w:rPr>
      </w:pPr>
      <w:r w:rsidRPr="000571F9">
        <w:rPr>
          <w:b/>
          <w:bCs/>
        </w:rPr>
        <w:t>Ratio of Financing Costs to Net Revenue Stream</w:t>
      </w:r>
    </w:p>
    <w:p w14:paraId="25017F22" w14:textId="77777777" w:rsidR="00770E1C" w:rsidRPr="000571F9" w:rsidRDefault="00770E1C" w:rsidP="002D5343">
      <w:r w:rsidRPr="000571F9">
        <w:t>This is an indicator of affordability and highlights the revenue implications of existing and proposed capital expenditure by identifying the proportion of the revenue budget required to meet financing costs, net of investment income. This indicator shows financing costs in the context of the entire budget.</w:t>
      </w:r>
    </w:p>
    <w:p w14:paraId="4576EF80" w14:textId="10BBBE6B" w:rsidR="00770E1C" w:rsidRPr="000571F9" w:rsidRDefault="00770E1C" w:rsidP="002D5343">
      <w:r w:rsidRPr="000571F9">
        <w:t xml:space="preserve">This is scheduled to increase over the period due to the requirement to undertake borrowing to support the investment required </w:t>
      </w:r>
      <w:proofErr w:type="gramStart"/>
      <w:r w:rsidRPr="000571F9">
        <w:t>as a result of</w:t>
      </w:r>
      <w:proofErr w:type="gramEnd"/>
      <w:r w:rsidRPr="000571F9">
        <w:t xml:space="preserve"> the Capital Programme. </w:t>
      </w:r>
      <w:r w:rsidR="00AE5B1F" w:rsidRPr="000571F9">
        <w:t>The impact of borrowing to fund the capital programme can be seen in later years.</w:t>
      </w:r>
    </w:p>
    <w:p w14:paraId="0D84C559" w14:textId="77777777" w:rsidR="00D50313" w:rsidRPr="007F4ED9" w:rsidRDefault="00D50313" w:rsidP="002D5343">
      <w:pPr>
        <w:rPr>
          <w:highlight w:val="green"/>
        </w:rPr>
      </w:pPr>
    </w:p>
    <w:tbl>
      <w:tblPr>
        <w:tblStyle w:val="GridTable4-Accent1"/>
        <w:tblW w:w="8624" w:type="dxa"/>
        <w:tblLook w:val="04A0" w:firstRow="1" w:lastRow="0" w:firstColumn="1" w:lastColumn="0" w:noHBand="0" w:noVBand="1"/>
      </w:tblPr>
      <w:tblGrid>
        <w:gridCol w:w="3118"/>
        <w:gridCol w:w="1102"/>
        <w:gridCol w:w="1101"/>
        <w:gridCol w:w="1101"/>
        <w:gridCol w:w="1101"/>
        <w:gridCol w:w="1101"/>
      </w:tblGrid>
      <w:tr w:rsidR="00101512" w:rsidRPr="007F4ED9" w14:paraId="365C3D9E" w14:textId="4F77F39A" w:rsidTr="003C36D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Pr>
          <w:p w14:paraId="4013FCE6" w14:textId="77777777" w:rsidR="00101512" w:rsidRPr="000571F9" w:rsidRDefault="00101512" w:rsidP="002D5343">
            <w:pPr>
              <w:rPr>
                <w:b w:val="0"/>
                <w:sz w:val="20"/>
                <w:szCs w:val="20"/>
              </w:rPr>
            </w:pPr>
            <w:r w:rsidRPr="000571F9">
              <w:rPr>
                <w:sz w:val="20"/>
                <w:szCs w:val="20"/>
              </w:rPr>
              <w:br w:type="page"/>
            </w:r>
          </w:p>
        </w:tc>
        <w:tc>
          <w:tcPr>
            <w:tcW w:w="0" w:type="dxa"/>
          </w:tcPr>
          <w:p w14:paraId="3FC3772B" w14:textId="6EB5A5EA" w:rsidR="00101512" w:rsidRPr="000571F9" w:rsidRDefault="001015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202</w:t>
            </w:r>
            <w:r w:rsidR="00345A45" w:rsidRPr="000571F9">
              <w:rPr>
                <w:sz w:val="20"/>
                <w:szCs w:val="20"/>
              </w:rPr>
              <w:t>2</w:t>
            </w:r>
            <w:r w:rsidRPr="000571F9">
              <w:rPr>
                <w:sz w:val="20"/>
                <w:szCs w:val="20"/>
              </w:rPr>
              <w:t>/2</w:t>
            </w:r>
            <w:r w:rsidR="00345A45" w:rsidRPr="000571F9">
              <w:rPr>
                <w:sz w:val="20"/>
                <w:szCs w:val="20"/>
              </w:rPr>
              <w:t>3</w:t>
            </w:r>
          </w:p>
          <w:p w14:paraId="5AC3A24D" w14:textId="77777777" w:rsidR="004C51C4" w:rsidRPr="000571F9" w:rsidRDefault="001015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Estimate</w:t>
            </w:r>
          </w:p>
          <w:p w14:paraId="0300001F" w14:textId="5EECA11D" w:rsidR="00101512" w:rsidRPr="000571F9" w:rsidRDefault="004C51C4"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£m</w:t>
            </w:r>
          </w:p>
        </w:tc>
        <w:tc>
          <w:tcPr>
            <w:tcW w:w="0" w:type="dxa"/>
          </w:tcPr>
          <w:p w14:paraId="382A29C2" w14:textId="36EDB3A5" w:rsidR="00101512" w:rsidRPr="000571F9" w:rsidRDefault="001015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202</w:t>
            </w:r>
            <w:r w:rsidR="00345A45" w:rsidRPr="000571F9">
              <w:rPr>
                <w:sz w:val="20"/>
                <w:szCs w:val="20"/>
              </w:rPr>
              <w:t>3</w:t>
            </w:r>
            <w:r w:rsidRPr="000571F9">
              <w:rPr>
                <w:sz w:val="20"/>
                <w:szCs w:val="20"/>
              </w:rPr>
              <w:t>/2</w:t>
            </w:r>
            <w:r w:rsidR="00345A45" w:rsidRPr="000571F9">
              <w:rPr>
                <w:sz w:val="20"/>
                <w:szCs w:val="20"/>
              </w:rPr>
              <w:t>4</w:t>
            </w:r>
          </w:p>
          <w:p w14:paraId="52145468" w14:textId="77777777" w:rsidR="004C51C4" w:rsidRPr="000571F9" w:rsidRDefault="001015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Estimate</w:t>
            </w:r>
          </w:p>
          <w:p w14:paraId="3211493A" w14:textId="5811A02D" w:rsidR="00101512" w:rsidRPr="000571F9" w:rsidRDefault="004C51C4"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£m</w:t>
            </w:r>
          </w:p>
        </w:tc>
        <w:tc>
          <w:tcPr>
            <w:tcW w:w="0" w:type="dxa"/>
          </w:tcPr>
          <w:p w14:paraId="408E18C0" w14:textId="3DAAFFD6" w:rsidR="00101512" w:rsidRPr="000571F9" w:rsidRDefault="001015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202</w:t>
            </w:r>
            <w:r w:rsidR="00345A45" w:rsidRPr="000571F9">
              <w:rPr>
                <w:sz w:val="20"/>
                <w:szCs w:val="20"/>
              </w:rPr>
              <w:t>4</w:t>
            </w:r>
            <w:r w:rsidRPr="000571F9">
              <w:rPr>
                <w:sz w:val="20"/>
                <w:szCs w:val="20"/>
              </w:rPr>
              <w:t>/2</w:t>
            </w:r>
            <w:r w:rsidR="00345A45" w:rsidRPr="000571F9">
              <w:rPr>
                <w:sz w:val="20"/>
                <w:szCs w:val="20"/>
              </w:rPr>
              <w:t>5</w:t>
            </w:r>
          </w:p>
          <w:p w14:paraId="61C34894" w14:textId="77777777" w:rsidR="004C51C4" w:rsidRPr="000571F9" w:rsidRDefault="001015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Estimate</w:t>
            </w:r>
          </w:p>
          <w:p w14:paraId="5C33171A" w14:textId="373AB304" w:rsidR="00101512" w:rsidRPr="000571F9" w:rsidRDefault="004C51C4"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£m</w:t>
            </w:r>
          </w:p>
        </w:tc>
        <w:tc>
          <w:tcPr>
            <w:tcW w:w="0" w:type="dxa"/>
          </w:tcPr>
          <w:p w14:paraId="79E04116" w14:textId="61F28408" w:rsidR="00101512" w:rsidRPr="000571F9" w:rsidRDefault="001015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202</w:t>
            </w:r>
            <w:r w:rsidR="00345A45" w:rsidRPr="000571F9">
              <w:rPr>
                <w:sz w:val="20"/>
                <w:szCs w:val="20"/>
              </w:rPr>
              <w:t>5</w:t>
            </w:r>
            <w:r w:rsidRPr="000571F9">
              <w:rPr>
                <w:sz w:val="20"/>
                <w:szCs w:val="20"/>
              </w:rPr>
              <w:t>/2</w:t>
            </w:r>
            <w:r w:rsidR="00345A45" w:rsidRPr="000571F9">
              <w:rPr>
                <w:sz w:val="20"/>
                <w:szCs w:val="20"/>
              </w:rPr>
              <w:t>6</w:t>
            </w:r>
          </w:p>
          <w:p w14:paraId="7484E559" w14:textId="77777777" w:rsidR="004C51C4" w:rsidRPr="000571F9" w:rsidRDefault="001015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Estimate</w:t>
            </w:r>
          </w:p>
          <w:p w14:paraId="2F0A39E8" w14:textId="2FC0101B" w:rsidR="00101512" w:rsidRPr="000571F9" w:rsidRDefault="004C51C4"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0571F9">
              <w:rPr>
                <w:sz w:val="20"/>
                <w:szCs w:val="20"/>
              </w:rPr>
              <w:t>£m</w:t>
            </w:r>
          </w:p>
        </w:tc>
        <w:tc>
          <w:tcPr>
            <w:tcW w:w="0" w:type="dxa"/>
          </w:tcPr>
          <w:p w14:paraId="7DE6A660" w14:textId="5E38999D" w:rsidR="00101512" w:rsidRPr="000571F9" w:rsidRDefault="001015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2026</w:t>
            </w:r>
            <w:r w:rsidR="00345A45" w:rsidRPr="000571F9">
              <w:rPr>
                <w:sz w:val="20"/>
                <w:szCs w:val="20"/>
              </w:rPr>
              <w:t>/27</w:t>
            </w:r>
          </w:p>
          <w:p w14:paraId="28F2F054" w14:textId="77777777" w:rsidR="00101512" w:rsidRPr="000571F9" w:rsidRDefault="00101512" w:rsidP="00A01D3D">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571F9">
              <w:rPr>
                <w:sz w:val="20"/>
                <w:szCs w:val="20"/>
              </w:rPr>
              <w:t>Estimate</w:t>
            </w:r>
          </w:p>
          <w:p w14:paraId="47C93F46" w14:textId="4B7C3984" w:rsidR="004C51C4" w:rsidRPr="000571F9" w:rsidRDefault="004C51C4" w:rsidP="00A01D3D">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0571F9">
              <w:rPr>
                <w:sz w:val="20"/>
                <w:szCs w:val="20"/>
              </w:rPr>
              <w:t>£m</w:t>
            </w:r>
          </w:p>
        </w:tc>
      </w:tr>
      <w:tr w:rsidR="00E16BAD" w:rsidRPr="007F4ED9" w14:paraId="2D16B305" w14:textId="0E8D4297" w:rsidTr="003C36D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2" w:type="dxa"/>
          </w:tcPr>
          <w:p w14:paraId="0BB4A30E" w14:textId="69B06EC1" w:rsidR="00E16BAD" w:rsidRPr="000571F9" w:rsidRDefault="00E16BAD" w:rsidP="00E16BAD">
            <w:pPr>
              <w:rPr>
                <w:sz w:val="20"/>
                <w:szCs w:val="20"/>
              </w:rPr>
            </w:pPr>
            <w:r w:rsidRPr="000571F9">
              <w:rPr>
                <w:sz w:val="20"/>
                <w:szCs w:val="20"/>
              </w:rPr>
              <w:t xml:space="preserve">Financing Costs </w:t>
            </w:r>
          </w:p>
        </w:tc>
        <w:tc>
          <w:tcPr>
            <w:tcW w:w="0" w:type="dxa"/>
          </w:tcPr>
          <w:p w14:paraId="4AEA2903" w14:textId="6613A516" w:rsidR="00E16BAD" w:rsidRPr="000571F9" w:rsidRDefault="00E16BAD"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0.1</w:t>
            </w:r>
            <w:r w:rsidR="009343E5" w:rsidRPr="000571F9">
              <w:rPr>
                <w:sz w:val="20"/>
                <w:szCs w:val="20"/>
              </w:rPr>
              <w:t>7</w:t>
            </w:r>
          </w:p>
        </w:tc>
        <w:tc>
          <w:tcPr>
            <w:tcW w:w="0" w:type="dxa"/>
          </w:tcPr>
          <w:p w14:paraId="1434311C" w14:textId="5DF532F5" w:rsidR="00E16BAD" w:rsidRPr="000571F9" w:rsidRDefault="00E16BAD"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w:t>
            </w:r>
            <w:r w:rsidR="009343E5" w:rsidRPr="000571F9">
              <w:rPr>
                <w:sz w:val="20"/>
                <w:szCs w:val="20"/>
              </w:rPr>
              <w:t>70</w:t>
            </w:r>
          </w:p>
        </w:tc>
        <w:tc>
          <w:tcPr>
            <w:tcW w:w="0" w:type="dxa"/>
          </w:tcPr>
          <w:p w14:paraId="314CAA8E" w14:textId="6146EE49" w:rsidR="00E16BAD" w:rsidRPr="000571F9" w:rsidRDefault="009343E5"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1.29</w:t>
            </w:r>
          </w:p>
        </w:tc>
        <w:tc>
          <w:tcPr>
            <w:tcW w:w="0" w:type="dxa"/>
          </w:tcPr>
          <w:p w14:paraId="6537E9F1" w14:textId="3422D166" w:rsidR="00E16BAD" w:rsidRPr="000571F9" w:rsidRDefault="009343E5"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1.76</w:t>
            </w:r>
          </w:p>
        </w:tc>
        <w:tc>
          <w:tcPr>
            <w:tcW w:w="0" w:type="dxa"/>
          </w:tcPr>
          <w:p w14:paraId="5C404C62" w14:textId="070F9729" w:rsidR="00E16BAD" w:rsidRPr="000571F9" w:rsidRDefault="009343E5"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2.00</w:t>
            </w:r>
          </w:p>
        </w:tc>
      </w:tr>
      <w:tr w:rsidR="00E16BAD" w:rsidRPr="007F4ED9" w14:paraId="498BDC63" w14:textId="29BF27EA" w:rsidTr="005550AB">
        <w:trPr>
          <w:trHeight w:val="510"/>
        </w:trPr>
        <w:tc>
          <w:tcPr>
            <w:cnfStyle w:val="001000000000" w:firstRow="0" w:lastRow="0" w:firstColumn="1" w:lastColumn="0" w:oddVBand="0" w:evenVBand="0" w:oddHBand="0" w:evenHBand="0" w:firstRowFirstColumn="0" w:firstRowLastColumn="0" w:lastRowFirstColumn="0" w:lastRowLastColumn="0"/>
            <w:tcW w:w="2972" w:type="dxa"/>
          </w:tcPr>
          <w:p w14:paraId="5ADE92F1" w14:textId="61184B99" w:rsidR="00E16BAD" w:rsidRPr="000571F9" w:rsidRDefault="00E16BAD" w:rsidP="00E16BAD">
            <w:pPr>
              <w:rPr>
                <w:sz w:val="20"/>
                <w:szCs w:val="20"/>
              </w:rPr>
            </w:pPr>
            <w:r w:rsidRPr="000571F9">
              <w:rPr>
                <w:sz w:val="20"/>
                <w:szCs w:val="20"/>
              </w:rPr>
              <w:t>Net Revenue Stream</w:t>
            </w:r>
          </w:p>
        </w:tc>
        <w:tc>
          <w:tcPr>
            <w:tcW w:w="0" w:type="dxa"/>
            <w:shd w:val="clear" w:color="auto" w:fill="auto"/>
          </w:tcPr>
          <w:p w14:paraId="5C3F06CA" w14:textId="3F863593" w:rsidR="00E16BAD" w:rsidRPr="000571F9" w:rsidRDefault="00E16BAD"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12</w:t>
            </w:r>
            <w:r w:rsidR="005550AB" w:rsidRPr="000571F9">
              <w:rPr>
                <w:sz w:val="20"/>
                <w:szCs w:val="20"/>
              </w:rPr>
              <w:t>6.2</w:t>
            </w:r>
          </w:p>
        </w:tc>
        <w:tc>
          <w:tcPr>
            <w:tcW w:w="0" w:type="dxa"/>
            <w:shd w:val="clear" w:color="auto" w:fill="auto"/>
          </w:tcPr>
          <w:p w14:paraId="78F449C6" w14:textId="0A0B2B6C" w:rsidR="00E16BAD" w:rsidRPr="000571F9" w:rsidRDefault="00E16BAD"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w:t>
            </w:r>
            <w:r w:rsidR="005550AB" w:rsidRPr="000571F9">
              <w:rPr>
                <w:sz w:val="20"/>
                <w:szCs w:val="20"/>
              </w:rPr>
              <w:t>33.7</w:t>
            </w:r>
          </w:p>
        </w:tc>
        <w:tc>
          <w:tcPr>
            <w:tcW w:w="0" w:type="dxa"/>
            <w:shd w:val="clear" w:color="auto" w:fill="auto"/>
          </w:tcPr>
          <w:p w14:paraId="4EBF1B54" w14:textId="3AF980D9" w:rsidR="00E16BAD" w:rsidRPr="000571F9" w:rsidRDefault="00E16BAD"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w:t>
            </w:r>
            <w:r w:rsidR="005550AB" w:rsidRPr="000571F9">
              <w:rPr>
                <w:sz w:val="20"/>
                <w:szCs w:val="20"/>
              </w:rPr>
              <w:t>45.6</w:t>
            </w:r>
          </w:p>
        </w:tc>
        <w:tc>
          <w:tcPr>
            <w:tcW w:w="0" w:type="dxa"/>
            <w:shd w:val="clear" w:color="auto" w:fill="auto"/>
          </w:tcPr>
          <w:p w14:paraId="14883CA9" w14:textId="0BA9D827" w:rsidR="00E16BAD" w:rsidRPr="000571F9" w:rsidRDefault="00E16BAD"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149.</w:t>
            </w:r>
            <w:r w:rsidR="005550AB" w:rsidRPr="000571F9">
              <w:rPr>
                <w:sz w:val="20"/>
                <w:szCs w:val="20"/>
              </w:rPr>
              <w:t>8</w:t>
            </w:r>
          </w:p>
        </w:tc>
        <w:tc>
          <w:tcPr>
            <w:tcW w:w="0" w:type="dxa"/>
            <w:shd w:val="clear" w:color="auto" w:fill="auto"/>
          </w:tcPr>
          <w:p w14:paraId="256B0D75" w14:textId="65B5A9DB" w:rsidR="00E16BAD" w:rsidRPr="000571F9" w:rsidRDefault="00E16BAD" w:rsidP="00A01D3D">
            <w:pPr>
              <w:jc w:val="center"/>
              <w:cnfStyle w:val="000000000000" w:firstRow="0" w:lastRow="0" w:firstColumn="0" w:lastColumn="0" w:oddVBand="0" w:evenVBand="0" w:oddHBand="0" w:evenHBand="0" w:firstRowFirstColumn="0" w:firstRowLastColumn="0" w:lastRowFirstColumn="0" w:lastRowLastColumn="0"/>
              <w:rPr>
                <w:sz w:val="20"/>
                <w:szCs w:val="20"/>
              </w:rPr>
            </w:pPr>
            <w:r w:rsidRPr="000571F9">
              <w:rPr>
                <w:sz w:val="20"/>
                <w:szCs w:val="20"/>
              </w:rPr>
              <w:t>155.</w:t>
            </w:r>
            <w:r w:rsidR="005550AB" w:rsidRPr="000571F9">
              <w:rPr>
                <w:sz w:val="20"/>
                <w:szCs w:val="20"/>
              </w:rPr>
              <w:t>5</w:t>
            </w:r>
          </w:p>
        </w:tc>
      </w:tr>
      <w:tr w:rsidR="00E16BAD" w:rsidRPr="004A501B" w14:paraId="6BC213EE" w14:textId="16F005FE" w:rsidTr="003C36D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2" w:type="dxa"/>
          </w:tcPr>
          <w:p w14:paraId="15929643" w14:textId="77777777" w:rsidR="00E16BAD" w:rsidRPr="000571F9" w:rsidRDefault="00E16BAD" w:rsidP="00E16BAD">
            <w:pPr>
              <w:rPr>
                <w:sz w:val="20"/>
                <w:szCs w:val="20"/>
              </w:rPr>
            </w:pPr>
            <w:r w:rsidRPr="000571F9">
              <w:rPr>
                <w:sz w:val="20"/>
                <w:szCs w:val="20"/>
              </w:rPr>
              <w:t xml:space="preserve">Ratio </w:t>
            </w:r>
          </w:p>
        </w:tc>
        <w:tc>
          <w:tcPr>
            <w:tcW w:w="0" w:type="dxa"/>
          </w:tcPr>
          <w:p w14:paraId="674F5BB4" w14:textId="4BF1B7C3" w:rsidR="00E16BAD" w:rsidRPr="000571F9" w:rsidRDefault="00E16BAD"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0.1</w:t>
            </w:r>
            <w:r w:rsidR="000D2F5E" w:rsidRPr="000571F9">
              <w:rPr>
                <w:sz w:val="20"/>
                <w:szCs w:val="20"/>
              </w:rPr>
              <w:t>3</w:t>
            </w:r>
            <w:r w:rsidRPr="000571F9">
              <w:rPr>
                <w:sz w:val="20"/>
                <w:szCs w:val="20"/>
              </w:rPr>
              <w:t>%</w:t>
            </w:r>
          </w:p>
        </w:tc>
        <w:tc>
          <w:tcPr>
            <w:tcW w:w="0" w:type="dxa"/>
          </w:tcPr>
          <w:p w14:paraId="6A7E079E" w14:textId="7FD8085D" w:rsidR="00E16BAD" w:rsidRPr="000571F9" w:rsidRDefault="00E16BAD"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w:t>
            </w:r>
            <w:r w:rsidR="000D2F5E" w:rsidRPr="000571F9">
              <w:rPr>
                <w:sz w:val="20"/>
                <w:szCs w:val="20"/>
              </w:rPr>
              <w:t>52</w:t>
            </w:r>
            <w:r w:rsidRPr="000571F9">
              <w:rPr>
                <w:sz w:val="20"/>
                <w:szCs w:val="20"/>
              </w:rPr>
              <w:t>%</w:t>
            </w:r>
          </w:p>
        </w:tc>
        <w:tc>
          <w:tcPr>
            <w:tcW w:w="0" w:type="dxa"/>
          </w:tcPr>
          <w:p w14:paraId="7FF72291" w14:textId="1178519A" w:rsidR="00E16BAD" w:rsidRPr="000571F9" w:rsidRDefault="00E16BAD"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0.</w:t>
            </w:r>
            <w:r w:rsidR="000D2F5E" w:rsidRPr="000571F9">
              <w:rPr>
                <w:sz w:val="20"/>
                <w:szCs w:val="20"/>
              </w:rPr>
              <w:t>89</w:t>
            </w:r>
            <w:r w:rsidRPr="000571F9">
              <w:rPr>
                <w:sz w:val="20"/>
                <w:szCs w:val="20"/>
              </w:rPr>
              <w:t>%</w:t>
            </w:r>
          </w:p>
        </w:tc>
        <w:tc>
          <w:tcPr>
            <w:tcW w:w="0" w:type="dxa"/>
          </w:tcPr>
          <w:p w14:paraId="46F623A4" w14:textId="05A669F7" w:rsidR="00E16BAD" w:rsidRPr="000571F9" w:rsidRDefault="000D2F5E"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1.17</w:t>
            </w:r>
            <w:r w:rsidR="00E16BAD" w:rsidRPr="000571F9">
              <w:rPr>
                <w:sz w:val="20"/>
                <w:szCs w:val="20"/>
              </w:rPr>
              <w:t>%</w:t>
            </w:r>
          </w:p>
        </w:tc>
        <w:tc>
          <w:tcPr>
            <w:tcW w:w="0" w:type="dxa"/>
          </w:tcPr>
          <w:p w14:paraId="11229580" w14:textId="2B2AD601" w:rsidR="00E16BAD" w:rsidRPr="000571F9" w:rsidRDefault="00E16BAD" w:rsidP="00A01D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0571F9">
              <w:rPr>
                <w:sz w:val="20"/>
                <w:szCs w:val="20"/>
              </w:rPr>
              <w:t>1.</w:t>
            </w:r>
            <w:r w:rsidR="000D2F5E" w:rsidRPr="000571F9">
              <w:rPr>
                <w:sz w:val="20"/>
                <w:szCs w:val="20"/>
              </w:rPr>
              <w:t>29</w:t>
            </w:r>
            <w:r w:rsidRPr="000571F9">
              <w:rPr>
                <w:sz w:val="20"/>
                <w:szCs w:val="20"/>
              </w:rPr>
              <w:t>%</w:t>
            </w:r>
          </w:p>
        </w:tc>
      </w:tr>
    </w:tbl>
    <w:p w14:paraId="6DCAF5C0" w14:textId="77777777" w:rsidR="00506FB6" w:rsidRDefault="00506FB6">
      <w:pPr>
        <w:spacing w:before="0" w:after="0" w:line="240" w:lineRule="auto"/>
      </w:pPr>
    </w:p>
    <w:p w14:paraId="1B3B197C" w14:textId="77777777" w:rsidR="0054185E" w:rsidRDefault="0054185E">
      <w:pPr>
        <w:spacing w:before="0" w:after="0" w:line="240" w:lineRule="auto"/>
        <w:rPr>
          <w:b/>
          <w:bCs/>
        </w:rPr>
      </w:pPr>
      <w:r>
        <w:rPr>
          <w:b/>
          <w:bCs/>
        </w:rPr>
        <w:br w:type="page"/>
      </w:r>
    </w:p>
    <w:p w14:paraId="2FBD58E6" w14:textId="2A1FA649" w:rsidR="00506FB6" w:rsidRPr="00506FB6" w:rsidRDefault="00506FB6">
      <w:pPr>
        <w:spacing w:before="0" w:after="0" w:line="240" w:lineRule="auto"/>
        <w:rPr>
          <w:b/>
          <w:bCs/>
        </w:rPr>
      </w:pPr>
      <w:r w:rsidRPr="00506FB6">
        <w:rPr>
          <w:b/>
          <w:bCs/>
        </w:rPr>
        <w:lastRenderedPageBreak/>
        <w:t>Liability Benchmark</w:t>
      </w:r>
      <w:r>
        <w:rPr>
          <w:b/>
          <w:bCs/>
        </w:rPr>
        <w:t xml:space="preserve"> (LB)</w:t>
      </w:r>
    </w:p>
    <w:p w14:paraId="1A5F1D8D" w14:textId="77777777" w:rsidR="00506FB6" w:rsidRDefault="00506FB6">
      <w:pPr>
        <w:spacing w:before="0" w:after="0" w:line="240" w:lineRule="auto"/>
      </w:pPr>
    </w:p>
    <w:p w14:paraId="3F0AABCC" w14:textId="77777777" w:rsidR="006F3650" w:rsidRDefault="00506FB6">
      <w:pPr>
        <w:spacing w:before="0" w:after="0" w:line="240" w:lineRule="auto"/>
      </w:pPr>
      <w:r>
        <w:t xml:space="preserve">This is a new prudential indicator for 2023/24. CIPFA requires the LB to be </w:t>
      </w:r>
      <w:r w:rsidR="006F3650">
        <w:t xml:space="preserve">to be measured for the forthcoming financial year and the following two financial years, as a minimum. </w:t>
      </w:r>
    </w:p>
    <w:p w14:paraId="1FBB0BA1" w14:textId="77777777" w:rsidR="006F3650" w:rsidRDefault="006F3650">
      <w:pPr>
        <w:spacing w:before="0" w:after="0" w:line="240" w:lineRule="auto"/>
      </w:pPr>
    </w:p>
    <w:p w14:paraId="25FF0354" w14:textId="61521E22" w:rsidR="006F3650" w:rsidRDefault="006F3650">
      <w:pPr>
        <w:spacing w:before="0" w:after="0" w:line="240" w:lineRule="auto"/>
      </w:pPr>
      <w:r>
        <w:t>There are four components to the LB:</w:t>
      </w:r>
    </w:p>
    <w:p w14:paraId="265AE9BA" w14:textId="77777777" w:rsidR="006F3650" w:rsidRDefault="006F3650">
      <w:pPr>
        <w:spacing w:before="0" w:after="0" w:line="240" w:lineRule="auto"/>
      </w:pPr>
    </w:p>
    <w:p w14:paraId="18DD7D7B" w14:textId="77777777" w:rsidR="006F3650" w:rsidRDefault="006F3650" w:rsidP="006F3650">
      <w:pPr>
        <w:pStyle w:val="ListParagraph"/>
        <w:numPr>
          <w:ilvl w:val="0"/>
          <w:numId w:val="42"/>
        </w:numPr>
        <w:spacing w:before="0" w:after="0" w:line="240" w:lineRule="auto"/>
      </w:pPr>
      <w:r>
        <w:t>Existing loan debt outstanding – the Authority’s existing loans that are still outstanding in future years</w:t>
      </w:r>
    </w:p>
    <w:p w14:paraId="2DE73471" w14:textId="77777777" w:rsidR="006F3650" w:rsidRDefault="006F3650" w:rsidP="006F3650">
      <w:pPr>
        <w:pStyle w:val="ListParagraph"/>
        <w:numPr>
          <w:ilvl w:val="0"/>
          <w:numId w:val="42"/>
        </w:numPr>
        <w:spacing w:before="0" w:after="0" w:line="240" w:lineRule="auto"/>
      </w:pPr>
      <w:r>
        <w:t>Loans CFR – this is calculated in accordance with the loans CFR definition in the Prudential Code and projected into the future based on approved prudential borrowing, and planned MRP</w:t>
      </w:r>
    </w:p>
    <w:p w14:paraId="57D01D49" w14:textId="77777777" w:rsidR="006F3650" w:rsidRDefault="006F3650" w:rsidP="006F3650">
      <w:pPr>
        <w:pStyle w:val="ListParagraph"/>
        <w:numPr>
          <w:ilvl w:val="0"/>
          <w:numId w:val="42"/>
        </w:numPr>
        <w:spacing w:before="0" w:after="0" w:line="240" w:lineRule="auto"/>
      </w:pPr>
      <w:r>
        <w:t>Net loans requirement – this will show the Authority’s gross loan debt less treasury management investments at the last financial year-end, projected into the future and based on its approved prudential borrowing, planned MRP and any other major cash flows forecast</w:t>
      </w:r>
    </w:p>
    <w:p w14:paraId="43B5052F" w14:textId="77777777" w:rsidR="00556526" w:rsidRDefault="006F3650" w:rsidP="006F3650">
      <w:pPr>
        <w:pStyle w:val="ListParagraph"/>
        <w:numPr>
          <w:ilvl w:val="0"/>
          <w:numId w:val="42"/>
        </w:numPr>
        <w:spacing w:before="0" w:after="0" w:line="240" w:lineRule="auto"/>
      </w:pPr>
      <w:r>
        <w:t xml:space="preserve">Liability benchmark (or gross loans requirement) – </w:t>
      </w:r>
      <w:proofErr w:type="gramStart"/>
      <w:r>
        <w:t>this equals</w:t>
      </w:r>
      <w:proofErr w:type="gramEnd"/>
      <w:r>
        <w:t xml:space="preserve"> net loans requirement plus short-term liquidity allowance</w:t>
      </w:r>
    </w:p>
    <w:p w14:paraId="1D9559F5" w14:textId="77777777" w:rsidR="00556526" w:rsidRDefault="00556526" w:rsidP="00556526">
      <w:pPr>
        <w:spacing w:before="0" w:after="0" w:line="240" w:lineRule="auto"/>
      </w:pPr>
    </w:p>
    <w:p w14:paraId="37048319" w14:textId="77777777" w:rsidR="00F75FAF" w:rsidRDefault="00F75FAF" w:rsidP="00556526">
      <w:pPr>
        <w:spacing w:before="0" w:after="0" w:line="240" w:lineRule="auto"/>
      </w:pPr>
      <w:r>
        <w:rPr>
          <w:noProof/>
        </w:rPr>
        <w:drawing>
          <wp:inline distT="0" distB="0" distL="0" distR="0" wp14:anchorId="5C419121" wp14:editId="3FC78FD5">
            <wp:extent cx="5252484" cy="3478798"/>
            <wp:effectExtent l="0" t="0" r="571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54417" cy="3480078"/>
                    </a:xfrm>
                    <a:prstGeom prst="rect">
                      <a:avLst/>
                    </a:prstGeom>
                  </pic:spPr>
                </pic:pic>
              </a:graphicData>
            </a:graphic>
          </wp:inline>
        </w:drawing>
      </w:r>
    </w:p>
    <w:p w14:paraId="66377EAF" w14:textId="77777777" w:rsidR="001D0936" w:rsidRDefault="001D0936" w:rsidP="00556526">
      <w:pPr>
        <w:spacing w:before="0" w:after="0" w:line="240" w:lineRule="auto"/>
      </w:pPr>
    </w:p>
    <w:p w14:paraId="6C6224D6" w14:textId="32230F47" w:rsidR="001D0936" w:rsidRDefault="001D0936" w:rsidP="001D0936">
      <w:pPr>
        <w:spacing w:before="0" w:after="0" w:line="240" w:lineRule="auto"/>
      </w:pPr>
      <w:r>
        <w:t xml:space="preserve">In 2021/22 the liability benchmark starts below the existing loan debt maturity portfolio, which indicates no additional borrowing need at that time, and signifies that the Commissioner had surplus cash </w:t>
      </w:r>
      <w:proofErr w:type="gramStart"/>
      <w:r>
        <w:t>in excess of</w:t>
      </w:r>
      <w:proofErr w:type="gramEnd"/>
      <w:r>
        <w:t xml:space="preserve"> liquidity requirements, that required investing.</w:t>
      </w:r>
    </w:p>
    <w:p w14:paraId="0C2C1A09" w14:textId="77777777" w:rsidR="001D0936" w:rsidRDefault="001D0936" w:rsidP="001D0936">
      <w:pPr>
        <w:spacing w:before="0" w:after="0" w:line="240" w:lineRule="auto"/>
      </w:pPr>
    </w:p>
    <w:p w14:paraId="27061604" w14:textId="3E8231A0" w:rsidR="00BE578E" w:rsidRDefault="001D0936" w:rsidP="001D0936">
      <w:pPr>
        <w:spacing w:before="0" w:after="0" w:line="240" w:lineRule="auto"/>
      </w:pPr>
      <w:proofErr w:type="gramStart"/>
      <w:r>
        <w:t>However</w:t>
      </w:r>
      <w:proofErr w:type="gramEnd"/>
      <w:r>
        <w:t xml:space="preserve"> from 2022/23 the liability benchmark indicates that the Commissioner has a borrowing need and the chart helps to identify the loans required to match those future liabilities of £60m by 2028/29 – in line with the Commissioner’s planned prudential borrowing.</w:t>
      </w:r>
      <w:r w:rsidR="00BE578E">
        <w:br w:type="page"/>
      </w:r>
    </w:p>
    <w:p w14:paraId="41579041" w14:textId="625C96F7" w:rsidR="00770E1C" w:rsidRPr="000571F9" w:rsidRDefault="005A4F24" w:rsidP="00FB10AD">
      <w:pPr>
        <w:pStyle w:val="Heading1"/>
        <w:numPr>
          <w:ilvl w:val="0"/>
          <w:numId w:val="0"/>
        </w:numPr>
      </w:pPr>
      <w:r w:rsidRPr="000571F9">
        <w:lastRenderedPageBreak/>
        <w:t>A</w:t>
      </w:r>
      <w:r w:rsidR="00770E1C" w:rsidRPr="000571F9">
        <w:t>nnual Minimum Revenue Provision Statement 20</w:t>
      </w:r>
      <w:r w:rsidR="00F15107" w:rsidRPr="000571F9">
        <w:t>2</w:t>
      </w:r>
      <w:r w:rsidR="005F66E3" w:rsidRPr="000571F9">
        <w:t>3</w:t>
      </w:r>
      <w:r w:rsidR="00770E1C" w:rsidRPr="000571F9">
        <w:t>/</w:t>
      </w:r>
      <w:r w:rsidR="001F19C1" w:rsidRPr="000571F9">
        <w:t>2</w:t>
      </w:r>
      <w:r w:rsidR="005F66E3" w:rsidRPr="000571F9">
        <w:t>4</w:t>
      </w:r>
    </w:p>
    <w:p w14:paraId="5745EC9F" w14:textId="1856885F" w:rsidR="00770E1C" w:rsidRPr="000571F9" w:rsidRDefault="00770E1C" w:rsidP="00FB10AD">
      <w:r w:rsidRPr="000571F9">
        <w:t xml:space="preserve">Where the </w:t>
      </w:r>
      <w:r w:rsidR="00657EFA" w:rsidRPr="000571F9">
        <w:t>Commissioner</w:t>
      </w:r>
      <w:r w:rsidRPr="000571F9">
        <w:t xml:space="preserve"> finances capital expenditure by debt, it must put aside resources to repay that debt in later years. The amount charged to the revenue budget for the repayment of debt is known as Minimum Revenue Provision (MRP) although there has been no statutory minimum since 2008. The Local Government Act 2003 requires the </w:t>
      </w:r>
      <w:r w:rsidR="00657EFA" w:rsidRPr="000571F9">
        <w:t>Commissioner</w:t>
      </w:r>
      <w:r w:rsidRPr="000571F9">
        <w:t xml:space="preserve"> to have regard to the Welsh Government’s Guidance on Minimum Revenue Provision.</w:t>
      </w:r>
    </w:p>
    <w:p w14:paraId="241E7569" w14:textId="77777777" w:rsidR="00770E1C" w:rsidRPr="000571F9" w:rsidRDefault="00770E1C" w:rsidP="00FB10AD">
      <w:r w:rsidRPr="000571F9">
        <w:t>The broad aim of the WG guidance is to ensure that debt is repaid that is either reasonably commensurate with that over which the capital expenditure provides benefits or, in the case of borrowing supported by Government Revenue Support Grant, reasonably commensurate with the period implicit in the determination of that grant.</w:t>
      </w:r>
    </w:p>
    <w:p w14:paraId="525FFCDC" w14:textId="6D40CEE0" w:rsidR="00770E1C" w:rsidRPr="000571F9" w:rsidRDefault="00770E1C" w:rsidP="00FB10AD">
      <w:r w:rsidRPr="000571F9">
        <w:t xml:space="preserve">The WG guidance requires the </w:t>
      </w:r>
      <w:r w:rsidR="00657EFA" w:rsidRPr="000571F9">
        <w:t>Commissioner</w:t>
      </w:r>
      <w:r w:rsidRPr="000571F9">
        <w:t xml:space="preserve"> to approve an annual MRP statement each </w:t>
      </w:r>
      <w:proofErr w:type="gramStart"/>
      <w:r w:rsidRPr="000571F9">
        <w:t>year, and</w:t>
      </w:r>
      <w:proofErr w:type="gramEnd"/>
      <w:r w:rsidRPr="000571F9">
        <w:t xml:space="preserve"> recommends a number of options for calculating a prudent amount of MRP.</w:t>
      </w:r>
    </w:p>
    <w:p w14:paraId="5990AD3B" w14:textId="35532D4F" w:rsidR="00770E1C" w:rsidRPr="000571F9" w:rsidRDefault="00D36283" w:rsidP="00FB10AD">
      <w:r w:rsidRPr="000571F9">
        <w:t>T</w:t>
      </w:r>
      <w:r w:rsidR="00770E1C" w:rsidRPr="000571F9">
        <w:t>he policy will still be used to estimate future MRP charges to the revenue account for future years</w:t>
      </w:r>
      <w:r w:rsidRPr="000571F9">
        <w:t xml:space="preserve"> which will be reflected within the </w:t>
      </w:r>
      <w:proofErr w:type="gramStart"/>
      <w:r w:rsidRPr="000571F9">
        <w:t>Medium Term</w:t>
      </w:r>
      <w:proofErr w:type="gramEnd"/>
      <w:r w:rsidRPr="000571F9">
        <w:t xml:space="preserve"> Financial P</w:t>
      </w:r>
      <w:r w:rsidR="00770E1C" w:rsidRPr="000571F9">
        <w:t>lan and capital programme.</w:t>
      </w:r>
    </w:p>
    <w:p w14:paraId="1E52919E" w14:textId="77777777" w:rsidR="00770E1C" w:rsidRPr="000571F9" w:rsidRDefault="00770E1C" w:rsidP="002D5343"/>
    <w:tbl>
      <w:tblPr>
        <w:tblW w:w="9214"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C74E6" w:rsidRPr="000571F9" w14:paraId="1CABCE03" w14:textId="77777777" w:rsidTr="0065623A">
        <w:tc>
          <w:tcPr>
            <w:tcW w:w="9214" w:type="dxa"/>
            <w:tcBorders>
              <w:top w:val="single" w:sz="4" w:space="0" w:color="auto"/>
              <w:left w:val="single" w:sz="4" w:space="0" w:color="auto"/>
              <w:bottom w:val="nil"/>
              <w:right w:val="single" w:sz="4" w:space="0" w:color="auto"/>
            </w:tcBorders>
            <w:hideMark/>
          </w:tcPr>
          <w:p w14:paraId="6CB952D6" w14:textId="09CF015B" w:rsidR="00770E1C" w:rsidRPr="0054185E" w:rsidRDefault="00770E1C" w:rsidP="002D5343">
            <w:pPr>
              <w:rPr>
                <w:b/>
                <w:bCs/>
              </w:rPr>
            </w:pPr>
            <w:r w:rsidRPr="0054185E">
              <w:rPr>
                <w:b/>
                <w:bCs/>
              </w:rPr>
              <w:t>ANNUAL MINIMUM REVENUE PROVISION (MRP) STATEMENT</w:t>
            </w:r>
          </w:p>
        </w:tc>
      </w:tr>
      <w:tr w:rsidR="003C74E6" w:rsidRPr="000571F9" w14:paraId="6E8DD816" w14:textId="77777777" w:rsidTr="0065623A">
        <w:tc>
          <w:tcPr>
            <w:tcW w:w="9214" w:type="dxa"/>
            <w:tcBorders>
              <w:top w:val="nil"/>
              <w:left w:val="single" w:sz="4" w:space="0" w:color="auto"/>
              <w:bottom w:val="nil"/>
              <w:right w:val="single" w:sz="4" w:space="0" w:color="auto"/>
            </w:tcBorders>
            <w:hideMark/>
          </w:tcPr>
          <w:p w14:paraId="060AFCB8" w14:textId="1F697C71" w:rsidR="00770E1C" w:rsidRPr="000571F9" w:rsidRDefault="00770E1C" w:rsidP="002D5343">
            <w:r w:rsidRPr="000571F9">
              <w:t xml:space="preserve">The following policy has been set by the </w:t>
            </w:r>
            <w:r w:rsidR="00657EFA" w:rsidRPr="000571F9">
              <w:t>Commissioner</w:t>
            </w:r>
            <w:r w:rsidRPr="000571F9">
              <w:t xml:space="preserve"> in relation to MRP </w:t>
            </w:r>
            <w:r w:rsidR="00AE5B1F" w:rsidRPr="000571F9">
              <w:t>for 202</w:t>
            </w:r>
            <w:r w:rsidR="005F66E3" w:rsidRPr="000571F9">
              <w:t>3</w:t>
            </w:r>
            <w:r w:rsidRPr="000571F9">
              <w:t>/</w:t>
            </w:r>
            <w:r w:rsidR="001F19C1" w:rsidRPr="000571F9">
              <w:t>2</w:t>
            </w:r>
            <w:r w:rsidR="005F66E3" w:rsidRPr="000571F9">
              <w:t>4</w:t>
            </w:r>
            <w:r w:rsidRPr="000571F9">
              <w:t>.</w:t>
            </w:r>
          </w:p>
        </w:tc>
      </w:tr>
      <w:tr w:rsidR="003C74E6" w:rsidRPr="000571F9" w14:paraId="5B0AB563" w14:textId="77777777" w:rsidTr="0065623A">
        <w:tc>
          <w:tcPr>
            <w:tcW w:w="9214" w:type="dxa"/>
            <w:tcBorders>
              <w:top w:val="nil"/>
              <w:left w:val="single" w:sz="4" w:space="0" w:color="auto"/>
              <w:bottom w:val="nil"/>
              <w:right w:val="single" w:sz="4" w:space="0" w:color="auto"/>
            </w:tcBorders>
            <w:hideMark/>
          </w:tcPr>
          <w:p w14:paraId="6CE652FD" w14:textId="104E9ADE" w:rsidR="00770E1C" w:rsidRPr="000571F9" w:rsidRDefault="00770E1C" w:rsidP="002D5343">
            <w:pPr>
              <w:rPr>
                <w:b/>
                <w:bCs/>
              </w:rPr>
            </w:pPr>
            <w:r w:rsidRPr="000571F9">
              <w:rPr>
                <w:b/>
                <w:bCs/>
              </w:rPr>
              <w:t xml:space="preserve">Prudential Borrowing </w:t>
            </w:r>
            <w:r w:rsidR="0065623A" w:rsidRPr="000571F9">
              <w:rPr>
                <w:b/>
                <w:bCs/>
              </w:rPr>
              <w:t>- Depreciation</w:t>
            </w:r>
            <w:r w:rsidRPr="000571F9">
              <w:rPr>
                <w:b/>
                <w:bCs/>
              </w:rPr>
              <w:t xml:space="preserve"> Method</w:t>
            </w:r>
          </w:p>
        </w:tc>
      </w:tr>
      <w:tr w:rsidR="003C74E6" w:rsidRPr="000571F9" w14:paraId="7F4014DD" w14:textId="77777777" w:rsidTr="0065623A">
        <w:tc>
          <w:tcPr>
            <w:tcW w:w="9214" w:type="dxa"/>
            <w:tcBorders>
              <w:top w:val="nil"/>
              <w:left w:val="single" w:sz="4" w:space="0" w:color="auto"/>
              <w:bottom w:val="nil"/>
              <w:right w:val="single" w:sz="4" w:space="0" w:color="auto"/>
            </w:tcBorders>
            <w:hideMark/>
          </w:tcPr>
          <w:p w14:paraId="44DD778C" w14:textId="1DCA79CC" w:rsidR="00770E1C" w:rsidRPr="000571F9" w:rsidRDefault="00770E1C" w:rsidP="002D5343">
            <w:r w:rsidRPr="000571F9">
              <w:t>MRP is to be equal to the provision required in accordance with depreciation accounting in respect of the asset on which expenditure has been financed by prudential borrowing or unsupported credit arrangements.</w:t>
            </w:r>
            <w:r w:rsidR="00D64CE1" w:rsidRPr="000571F9">
              <w:t xml:space="preserve"> This reflects the useful life of the asset which has been estimated at 50 years in </w:t>
            </w:r>
            <w:r w:rsidR="00AC5CC6" w:rsidRPr="000571F9">
              <w:t>respect of Estates assets,</w:t>
            </w:r>
            <w:r w:rsidR="00E02B52" w:rsidRPr="000571F9">
              <w:t xml:space="preserve"> 10 </w:t>
            </w:r>
            <w:r w:rsidR="00D64CE1" w:rsidRPr="000571F9">
              <w:t xml:space="preserve">years in respect of IT </w:t>
            </w:r>
            <w:r w:rsidR="00E02B52" w:rsidRPr="000571F9">
              <w:t xml:space="preserve">infrastructure </w:t>
            </w:r>
            <w:r w:rsidR="00D64CE1" w:rsidRPr="000571F9">
              <w:t>assets</w:t>
            </w:r>
            <w:r w:rsidR="00B770D4" w:rsidRPr="000571F9">
              <w:t xml:space="preserve"> (</w:t>
            </w:r>
            <w:proofErr w:type="gramStart"/>
            <w:r w:rsidR="00B770D4" w:rsidRPr="000571F9">
              <w:t>e.g.</w:t>
            </w:r>
            <w:proofErr w:type="gramEnd"/>
            <w:r w:rsidR="00B770D4" w:rsidRPr="000571F9">
              <w:t xml:space="preserve"> Control Room, RMS)</w:t>
            </w:r>
            <w:r w:rsidR="00AC5CC6" w:rsidRPr="000571F9">
              <w:t xml:space="preserve"> and 5 years for other IT assets.</w:t>
            </w:r>
          </w:p>
        </w:tc>
      </w:tr>
      <w:tr w:rsidR="003C74E6" w:rsidRPr="000571F9" w14:paraId="793F91F2" w14:textId="77777777" w:rsidTr="0065623A">
        <w:tc>
          <w:tcPr>
            <w:tcW w:w="9214" w:type="dxa"/>
            <w:tcBorders>
              <w:top w:val="nil"/>
              <w:left w:val="single" w:sz="4" w:space="0" w:color="auto"/>
              <w:bottom w:val="nil"/>
              <w:right w:val="single" w:sz="4" w:space="0" w:color="auto"/>
            </w:tcBorders>
            <w:hideMark/>
          </w:tcPr>
          <w:p w14:paraId="586D6EC6" w14:textId="77777777" w:rsidR="00770E1C" w:rsidRPr="000571F9" w:rsidRDefault="00770E1C" w:rsidP="002D5343">
            <w:r w:rsidRPr="000571F9">
              <w:t>(a) MRP will continue to be made annually until the cumulative amount of such provision is equal to the expenditure originally financed.</w:t>
            </w:r>
          </w:p>
        </w:tc>
      </w:tr>
      <w:tr w:rsidR="003C74E6" w:rsidRPr="000571F9" w14:paraId="19729B57" w14:textId="77777777" w:rsidTr="0065623A">
        <w:tc>
          <w:tcPr>
            <w:tcW w:w="9214" w:type="dxa"/>
            <w:tcBorders>
              <w:top w:val="nil"/>
              <w:left w:val="single" w:sz="4" w:space="0" w:color="auto"/>
              <w:bottom w:val="nil"/>
              <w:right w:val="single" w:sz="4" w:space="0" w:color="auto"/>
            </w:tcBorders>
            <w:hideMark/>
          </w:tcPr>
          <w:p w14:paraId="16CEDFF6" w14:textId="42157281" w:rsidR="00770E1C" w:rsidRPr="000571F9" w:rsidRDefault="00770E1C" w:rsidP="002D5343">
            <w:r w:rsidRPr="000571F9">
              <w:t xml:space="preserve">(b) On disposal of the asset, the amount of </w:t>
            </w:r>
            <w:r w:rsidR="005565CC" w:rsidRPr="000571F9">
              <w:t xml:space="preserve">the capital receipt will not be </w:t>
            </w:r>
            <w:r w:rsidRPr="000571F9">
              <w:t xml:space="preserve">taken to the revenue account and the </w:t>
            </w:r>
            <w:r w:rsidR="00657EFA" w:rsidRPr="000571F9">
              <w:t>Commissioner</w:t>
            </w:r>
            <w:r w:rsidRPr="000571F9">
              <w:t xml:space="preserve"> will comply with the normal requirements of the 2003 Act on the use of capital receipts.</w:t>
            </w:r>
          </w:p>
        </w:tc>
      </w:tr>
      <w:tr w:rsidR="003C74E6" w:rsidRPr="000571F9" w14:paraId="019A768A" w14:textId="77777777" w:rsidTr="0065623A">
        <w:tc>
          <w:tcPr>
            <w:tcW w:w="9214" w:type="dxa"/>
            <w:tcBorders>
              <w:top w:val="nil"/>
              <w:left w:val="single" w:sz="4" w:space="0" w:color="auto"/>
              <w:bottom w:val="nil"/>
              <w:right w:val="single" w:sz="4" w:space="0" w:color="auto"/>
            </w:tcBorders>
            <w:hideMark/>
          </w:tcPr>
          <w:p w14:paraId="5CBE0A35" w14:textId="77777777" w:rsidR="00770E1C" w:rsidRPr="000571F9" w:rsidRDefault="00770E1C" w:rsidP="002D5343">
            <w:r w:rsidRPr="000571F9">
              <w:t>(c) Where the percentage of the expenditure on the asset financed by prudential borrowing or unsupported credit arrangements is less than 100%, MRP will be equal to the same percentage of the provision required under depreciation accounting.</w:t>
            </w:r>
          </w:p>
        </w:tc>
      </w:tr>
      <w:tr w:rsidR="003C74E6" w:rsidRPr="000571F9" w14:paraId="3E2F0AF1" w14:textId="77777777" w:rsidTr="0065623A">
        <w:tc>
          <w:tcPr>
            <w:tcW w:w="9214" w:type="dxa"/>
            <w:tcBorders>
              <w:top w:val="nil"/>
              <w:left w:val="single" w:sz="4" w:space="0" w:color="auto"/>
              <w:bottom w:val="nil"/>
              <w:right w:val="single" w:sz="4" w:space="0" w:color="auto"/>
            </w:tcBorders>
            <w:hideMark/>
          </w:tcPr>
          <w:p w14:paraId="1DC23319" w14:textId="77777777" w:rsidR="00770E1C" w:rsidRPr="000571F9" w:rsidRDefault="00770E1C" w:rsidP="002D5343">
            <w:r w:rsidRPr="000571F9">
              <w:t>Finance Leases and PFI</w:t>
            </w:r>
          </w:p>
        </w:tc>
      </w:tr>
      <w:tr w:rsidR="003C74E6" w:rsidRPr="004A501B" w14:paraId="452F43E5" w14:textId="77777777" w:rsidTr="0065623A">
        <w:tc>
          <w:tcPr>
            <w:tcW w:w="9214" w:type="dxa"/>
            <w:tcBorders>
              <w:top w:val="nil"/>
              <w:left w:val="single" w:sz="4" w:space="0" w:color="auto"/>
              <w:bottom w:val="single" w:sz="4" w:space="0" w:color="auto"/>
              <w:right w:val="single" w:sz="4" w:space="0" w:color="auto"/>
            </w:tcBorders>
            <w:hideMark/>
          </w:tcPr>
          <w:p w14:paraId="2DC3A21F" w14:textId="77777777" w:rsidR="00770E1C" w:rsidRPr="0065623A" w:rsidRDefault="00770E1C" w:rsidP="002D5343">
            <w:r w:rsidRPr="000571F9">
              <w:t>In the case of finance leases and on balance-sheet PFI contracts, the MRP requirement will be regarded as met by a charge equal to the element of the rent/charge that goes to write down the balance sheet liability.</w:t>
            </w:r>
          </w:p>
        </w:tc>
      </w:tr>
    </w:tbl>
    <w:p w14:paraId="3158A53B" w14:textId="77777777" w:rsidR="00513EDE" w:rsidRPr="004A501B" w:rsidRDefault="00513EDE" w:rsidP="002D5343">
      <w:pPr>
        <w:pStyle w:val="Header"/>
      </w:pPr>
    </w:p>
    <w:sectPr w:rsidR="00513EDE" w:rsidRPr="004A501B" w:rsidSect="000B3DE6">
      <w:headerReference w:type="even" r:id="rId17"/>
      <w:headerReference w:type="default" r:id="rId18"/>
      <w:footerReference w:type="even" r:id="rId19"/>
      <w:footerReference w:type="default" r:id="rId20"/>
      <w:headerReference w:type="first" r:id="rId21"/>
      <w:footerReference w:type="first" r:id="rId22"/>
      <w:pgSz w:w="11906" w:h="16838"/>
      <w:pgMar w:top="993"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A934" w14:textId="77777777" w:rsidR="00C6036C" w:rsidRDefault="00C6036C" w:rsidP="002D5343">
      <w:r>
        <w:separator/>
      </w:r>
    </w:p>
  </w:endnote>
  <w:endnote w:type="continuationSeparator" w:id="0">
    <w:p w14:paraId="53E07297" w14:textId="77777777" w:rsidR="00C6036C" w:rsidRDefault="00C6036C" w:rsidP="002D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BB" w14:textId="77777777" w:rsidR="00C6036C" w:rsidRDefault="00C60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958515"/>
      <w:docPartObj>
        <w:docPartGallery w:val="Page Numbers (Bottom of Page)"/>
        <w:docPartUnique/>
      </w:docPartObj>
    </w:sdtPr>
    <w:sdtEndPr>
      <w:rPr>
        <w:rFonts w:ascii="Arial" w:hAnsi="Arial"/>
        <w:noProof/>
      </w:rPr>
    </w:sdtEndPr>
    <w:sdtContent>
      <w:p w14:paraId="50F568FC" w14:textId="57A7C899" w:rsidR="00C6036C" w:rsidRPr="00FB3AC0" w:rsidRDefault="00C6036C">
        <w:pPr>
          <w:pStyle w:val="Footer"/>
          <w:jc w:val="right"/>
          <w:rPr>
            <w:rFonts w:ascii="Arial" w:hAnsi="Arial"/>
          </w:rPr>
        </w:pPr>
        <w:r w:rsidRPr="00FB3AC0">
          <w:rPr>
            <w:rFonts w:ascii="Arial" w:hAnsi="Arial"/>
          </w:rPr>
          <w:fldChar w:fldCharType="begin"/>
        </w:r>
        <w:r w:rsidRPr="00FB3AC0">
          <w:rPr>
            <w:rFonts w:ascii="Arial" w:hAnsi="Arial"/>
          </w:rPr>
          <w:instrText xml:space="preserve"> PAGE   \* MERGEFORMAT </w:instrText>
        </w:r>
        <w:r w:rsidRPr="00FB3AC0">
          <w:rPr>
            <w:rFonts w:ascii="Arial" w:hAnsi="Arial"/>
          </w:rPr>
          <w:fldChar w:fldCharType="separate"/>
        </w:r>
        <w:r w:rsidRPr="00FB3AC0">
          <w:rPr>
            <w:rFonts w:ascii="Arial" w:hAnsi="Arial"/>
            <w:noProof/>
          </w:rPr>
          <w:t>2</w:t>
        </w:r>
        <w:r w:rsidRPr="00FB3AC0">
          <w:rPr>
            <w:rFonts w:ascii="Arial" w:hAnsi="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85EC" w14:textId="77777777" w:rsidR="00C6036C" w:rsidRDefault="00C60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BC91" w14:textId="77777777" w:rsidR="00C6036C" w:rsidRDefault="00C6036C" w:rsidP="002D5343">
      <w:r>
        <w:separator/>
      </w:r>
    </w:p>
  </w:footnote>
  <w:footnote w:type="continuationSeparator" w:id="0">
    <w:p w14:paraId="2DF889C7" w14:textId="77777777" w:rsidR="00C6036C" w:rsidRDefault="00C6036C" w:rsidP="002D5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EC8B" w14:textId="77777777" w:rsidR="00C6036C" w:rsidRDefault="00C60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28B3" w14:textId="77777777" w:rsidR="00C6036C" w:rsidRDefault="00C6036C" w:rsidP="002D5343">
    <w:pPr>
      <w:pStyle w:val="Header"/>
    </w:pPr>
  </w:p>
  <w:p w14:paraId="6E205870" w14:textId="77777777" w:rsidR="00C6036C" w:rsidRDefault="00C6036C" w:rsidP="002D5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461A" w14:textId="77777777" w:rsidR="00C6036C" w:rsidRDefault="00C6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BF"/>
    <w:multiLevelType w:val="hybridMultilevel"/>
    <w:tmpl w:val="53B8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7C545DB"/>
    <w:multiLevelType w:val="hybridMultilevel"/>
    <w:tmpl w:val="7AB2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D5D30"/>
    <w:multiLevelType w:val="hybridMultilevel"/>
    <w:tmpl w:val="80A8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A705C"/>
    <w:multiLevelType w:val="multilevel"/>
    <w:tmpl w:val="A8E60998"/>
    <w:lvl w:ilvl="0">
      <w:start w:val="1"/>
      <w:numFmt w:val="decimal"/>
      <w:pStyle w:val="NumberedAnnexParaCharChar"/>
      <w:lvlText w:val="%1."/>
      <w:lvlJc w:val="left"/>
      <w:pPr>
        <w:tabs>
          <w:tab w:val="num" w:pos="1277"/>
        </w:tabs>
        <w:ind w:left="710" w:firstLine="0"/>
      </w:pPr>
      <w:rPr>
        <w:rFonts w:ascii="Arial" w:hAnsi="Arial" w:cs="Times New Roman" w:hint="default"/>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40898"/>
    <w:multiLevelType w:val="multilevel"/>
    <w:tmpl w:val="0776BCEC"/>
    <w:lvl w:ilvl="0">
      <w:start w:val="1"/>
      <w:numFmt w:val="decimal"/>
      <w:pStyle w:val="Heading1"/>
      <w:lvlText w:val="%1."/>
      <w:lvlJc w:val="left"/>
      <w:pPr>
        <w:ind w:left="72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0F045C"/>
    <w:multiLevelType w:val="hybridMultilevel"/>
    <w:tmpl w:val="313C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C5392"/>
    <w:multiLevelType w:val="hybridMultilevel"/>
    <w:tmpl w:val="970C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90B7D"/>
    <w:multiLevelType w:val="hybridMultilevel"/>
    <w:tmpl w:val="E7E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D47EF"/>
    <w:multiLevelType w:val="hybridMultilevel"/>
    <w:tmpl w:val="CA828C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9C832BD"/>
    <w:multiLevelType w:val="hybridMultilevel"/>
    <w:tmpl w:val="7D3E3454"/>
    <w:lvl w:ilvl="0" w:tplc="C48EFA5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515805"/>
    <w:multiLevelType w:val="multilevel"/>
    <w:tmpl w:val="0C4C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25DEC"/>
    <w:multiLevelType w:val="hybridMultilevel"/>
    <w:tmpl w:val="DE5C163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14226"/>
    <w:multiLevelType w:val="multilevel"/>
    <w:tmpl w:val="D194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B4423D"/>
    <w:multiLevelType w:val="hybridMultilevel"/>
    <w:tmpl w:val="030E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279C5"/>
    <w:multiLevelType w:val="hybridMultilevel"/>
    <w:tmpl w:val="B4548036"/>
    <w:lvl w:ilvl="0" w:tplc="C6C2BA86">
      <w:start w:val="1"/>
      <w:numFmt w:val="bullet"/>
      <w:pStyle w:val="ListBullet"/>
      <w:lvlText w:val="•"/>
      <w:lvlJc w:val="left"/>
      <w:pPr>
        <w:tabs>
          <w:tab w:val="num" w:pos="360"/>
        </w:tabs>
        <w:ind w:left="360" w:hanging="360"/>
      </w:pPr>
      <w:rPr>
        <w:rFonts w:ascii="Arial" w:hAnsi="Arial" w:hint="default"/>
        <w:color w:val="43579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BE49D3"/>
    <w:multiLevelType w:val="hybridMultilevel"/>
    <w:tmpl w:val="27D8D5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0607D"/>
    <w:multiLevelType w:val="hybridMultilevel"/>
    <w:tmpl w:val="FB10581A"/>
    <w:lvl w:ilvl="0" w:tplc="3EB2C08A">
      <w:start w:val="1"/>
      <w:numFmt w:val="bullet"/>
      <w:lvlText w:val=""/>
      <w:lvlJc w:val="left"/>
      <w:pPr>
        <w:tabs>
          <w:tab w:val="num" w:pos="900"/>
        </w:tabs>
        <w:ind w:left="900" w:hanging="360"/>
      </w:pPr>
      <w:rPr>
        <w:rFonts w:ascii="Symbol" w:hAnsi="Symbol" w:hint="default"/>
        <w:sz w:val="22"/>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2DDD2C9F"/>
    <w:multiLevelType w:val="hybridMultilevel"/>
    <w:tmpl w:val="FD7E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861E0"/>
    <w:multiLevelType w:val="hybridMultilevel"/>
    <w:tmpl w:val="475A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E03A6C"/>
    <w:multiLevelType w:val="hybridMultilevel"/>
    <w:tmpl w:val="F512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C2C6D"/>
    <w:multiLevelType w:val="hybridMultilevel"/>
    <w:tmpl w:val="174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76AA0"/>
    <w:multiLevelType w:val="hybridMultilevel"/>
    <w:tmpl w:val="8BCEC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901C7B"/>
    <w:multiLevelType w:val="hybridMultilevel"/>
    <w:tmpl w:val="9F70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65B93"/>
    <w:multiLevelType w:val="hybridMultilevel"/>
    <w:tmpl w:val="D29C5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71FAA"/>
    <w:multiLevelType w:val="hybridMultilevel"/>
    <w:tmpl w:val="D0AA99DC"/>
    <w:lvl w:ilvl="0" w:tplc="B0C645C8">
      <w:start w:val="5"/>
      <w:numFmt w:val="bullet"/>
      <w:lvlText w:val="•"/>
      <w:lvlJc w:val="left"/>
      <w:pPr>
        <w:ind w:left="1778" w:hanging="720"/>
      </w:pPr>
      <w:rPr>
        <w:rFonts w:ascii="Trebuchet MS" w:eastAsia="Calibri" w:hAnsi="Trebuchet MS" w:cs="Times New Roman" w:hint="default"/>
      </w:rPr>
    </w:lvl>
    <w:lvl w:ilvl="1" w:tplc="08090003">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6" w15:restartNumberingAfterBreak="0">
    <w:nsid w:val="4D370C0F"/>
    <w:multiLevelType w:val="hybridMultilevel"/>
    <w:tmpl w:val="AA66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E3D5D"/>
    <w:multiLevelType w:val="hybridMultilevel"/>
    <w:tmpl w:val="76E6DD74"/>
    <w:lvl w:ilvl="0" w:tplc="2BFA69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D58CF"/>
    <w:multiLevelType w:val="hybridMultilevel"/>
    <w:tmpl w:val="D5744AC8"/>
    <w:lvl w:ilvl="0" w:tplc="554A530A">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54CA5"/>
    <w:multiLevelType w:val="hybridMultilevel"/>
    <w:tmpl w:val="5B4A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A6237B"/>
    <w:multiLevelType w:val="hybridMultilevel"/>
    <w:tmpl w:val="E26A95EE"/>
    <w:lvl w:ilvl="0" w:tplc="08090001">
      <w:start w:val="1"/>
      <w:numFmt w:val="bullet"/>
      <w:lvlText w:val=""/>
      <w:lvlJc w:val="left"/>
      <w:pPr>
        <w:ind w:left="93" w:hanging="360"/>
      </w:pPr>
      <w:rPr>
        <w:rFonts w:ascii="Symbol" w:hAnsi="Symbol" w:hint="default"/>
      </w:rPr>
    </w:lvl>
    <w:lvl w:ilvl="1" w:tplc="08090003" w:tentative="1">
      <w:start w:val="1"/>
      <w:numFmt w:val="bullet"/>
      <w:lvlText w:val="o"/>
      <w:lvlJc w:val="left"/>
      <w:pPr>
        <w:ind w:left="813" w:hanging="360"/>
      </w:pPr>
      <w:rPr>
        <w:rFonts w:ascii="Courier New" w:hAnsi="Courier New" w:cs="Courier New" w:hint="default"/>
      </w:rPr>
    </w:lvl>
    <w:lvl w:ilvl="2" w:tplc="08090005" w:tentative="1">
      <w:start w:val="1"/>
      <w:numFmt w:val="bullet"/>
      <w:lvlText w:val=""/>
      <w:lvlJc w:val="left"/>
      <w:pPr>
        <w:ind w:left="1533" w:hanging="360"/>
      </w:pPr>
      <w:rPr>
        <w:rFonts w:ascii="Wingdings" w:hAnsi="Wingdings" w:hint="default"/>
      </w:rPr>
    </w:lvl>
    <w:lvl w:ilvl="3" w:tplc="08090001" w:tentative="1">
      <w:start w:val="1"/>
      <w:numFmt w:val="bullet"/>
      <w:lvlText w:val=""/>
      <w:lvlJc w:val="left"/>
      <w:pPr>
        <w:ind w:left="2253" w:hanging="360"/>
      </w:pPr>
      <w:rPr>
        <w:rFonts w:ascii="Symbol" w:hAnsi="Symbol" w:hint="default"/>
      </w:rPr>
    </w:lvl>
    <w:lvl w:ilvl="4" w:tplc="08090003" w:tentative="1">
      <w:start w:val="1"/>
      <w:numFmt w:val="bullet"/>
      <w:lvlText w:val="o"/>
      <w:lvlJc w:val="left"/>
      <w:pPr>
        <w:ind w:left="2973" w:hanging="360"/>
      </w:pPr>
      <w:rPr>
        <w:rFonts w:ascii="Courier New" w:hAnsi="Courier New" w:cs="Courier New" w:hint="default"/>
      </w:rPr>
    </w:lvl>
    <w:lvl w:ilvl="5" w:tplc="08090005" w:tentative="1">
      <w:start w:val="1"/>
      <w:numFmt w:val="bullet"/>
      <w:lvlText w:val=""/>
      <w:lvlJc w:val="left"/>
      <w:pPr>
        <w:ind w:left="3693" w:hanging="360"/>
      </w:pPr>
      <w:rPr>
        <w:rFonts w:ascii="Wingdings" w:hAnsi="Wingdings" w:hint="default"/>
      </w:rPr>
    </w:lvl>
    <w:lvl w:ilvl="6" w:tplc="08090001" w:tentative="1">
      <w:start w:val="1"/>
      <w:numFmt w:val="bullet"/>
      <w:lvlText w:val=""/>
      <w:lvlJc w:val="left"/>
      <w:pPr>
        <w:ind w:left="4413" w:hanging="360"/>
      </w:pPr>
      <w:rPr>
        <w:rFonts w:ascii="Symbol" w:hAnsi="Symbol" w:hint="default"/>
      </w:rPr>
    </w:lvl>
    <w:lvl w:ilvl="7" w:tplc="08090003" w:tentative="1">
      <w:start w:val="1"/>
      <w:numFmt w:val="bullet"/>
      <w:lvlText w:val="o"/>
      <w:lvlJc w:val="left"/>
      <w:pPr>
        <w:ind w:left="5133" w:hanging="360"/>
      </w:pPr>
      <w:rPr>
        <w:rFonts w:ascii="Courier New" w:hAnsi="Courier New" w:cs="Courier New" w:hint="default"/>
      </w:rPr>
    </w:lvl>
    <w:lvl w:ilvl="8" w:tplc="08090005" w:tentative="1">
      <w:start w:val="1"/>
      <w:numFmt w:val="bullet"/>
      <w:lvlText w:val=""/>
      <w:lvlJc w:val="left"/>
      <w:pPr>
        <w:ind w:left="5853" w:hanging="360"/>
      </w:pPr>
      <w:rPr>
        <w:rFonts w:ascii="Wingdings" w:hAnsi="Wingdings" w:hint="default"/>
      </w:rPr>
    </w:lvl>
  </w:abstractNum>
  <w:abstractNum w:abstractNumId="31" w15:restartNumberingAfterBreak="0">
    <w:nsid w:val="5DA53F30"/>
    <w:multiLevelType w:val="hybridMultilevel"/>
    <w:tmpl w:val="CDBE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577BE"/>
    <w:multiLevelType w:val="hybridMultilevel"/>
    <w:tmpl w:val="4B02EB10"/>
    <w:lvl w:ilvl="0" w:tplc="D7BAB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9236FB"/>
    <w:multiLevelType w:val="hybridMultilevel"/>
    <w:tmpl w:val="0A6A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D71A5"/>
    <w:multiLevelType w:val="hybridMultilevel"/>
    <w:tmpl w:val="2FB23F3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EE17BFD"/>
    <w:multiLevelType w:val="hybridMultilevel"/>
    <w:tmpl w:val="F1CC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E2CBE"/>
    <w:multiLevelType w:val="hybridMultilevel"/>
    <w:tmpl w:val="5472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66A92"/>
    <w:multiLevelType w:val="hybridMultilevel"/>
    <w:tmpl w:val="5E9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96F86"/>
    <w:multiLevelType w:val="hybridMultilevel"/>
    <w:tmpl w:val="80BE6BDE"/>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39" w15:restartNumberingAfterBreak="0">
    <w:nsid w:val="79F33FD6"/>
    <w:multiLevelType w:val="hybridMultilevel"/>
    <w:tmpl w:val="4E4AFF2E"/>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110E6"/>
    <w:multiLevelType w:val="hybridMultilevel"/>
    <w:tmpl w:val="1AA8FD9A"/>
    <w:lvl w:ilvl="0" w:tplc="82C08D92">
      <w:start w:val="1"/>
      <w:numFmt w:val="bullet"/>
      <w:lvlText w:val=""/>
      <w:lvlJc w:val="left"/>
      <w:pPr>
        <w:tabs>
          <w:tab w:val="num" w:pos="1854"/>
        </w:tabs>
        <w:ind w:left="1854" w:hanging="360"/>
      </w:pPr>
      <w:rPr>
        <w:rFonts w:ascii="Symbol" w:hAnsi="Symbol" w:hint="default"/>
        <w:color w:val="auto"/>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F6F132B"/>
    <w:multiLevelType w:val="hybridMultilevel"/>
    <w:tmpl w:val="1E3651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34"/>
  </w:num>
  <w:num w:numId="3">
    <w:abstractNumId w:val="9"/>
  </w:num>
  <w:num w:numId="4">
    <w:abstractNumId w:val="30"/>
  </w:num>
  <w:num w:numId="5">
    <w:abstractNumId w:val="4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9"/>
  </w:num>
  <w:num w:numId="9">
    <w:abstractNumId w:val="16"/>
  </w:num>
  <w:num w:numId="10">
    <w:abstractNumId w:val="22"/>
  </w:num>
  <w:num w:numId="11">
    <w:abstractNumId w:val="10"/>
  </w:num>
  <w:num w:numId="12">
    <w:abstractNumId w:val="7"/>
  </w:num>
  <w:num w:numId="13">
    <w:abstractNumId w:val="37"/>
  </w:num>
  <w:num w:numId="14">
    <w:abstractNumId w:val="24"/>
  </w:num>
  <w:num w:numId="15">
    <w:abstractNumId w:val="0"/>
  </w:num>
  <w:num w:numId="16">
    <w:abstractNumId w:val="41"/>
  </w:num>
  <w:num w:numId="17">
    <w:abstractNumId w:val="36"/>
  </w:num>
  <w:num w:numId="18">
    <w:abstractNumId w:val="20"/>
  </w:num>
  <w:num w:numId="19">
    <w:abstractNumId w:val="3"/>
  </w:num>
  <w:num w:numId="20">
    <w:abstractNumId w:val="2"/>
  </w:num>
  <w:num w:numId="21">
    <w:abstractNumId w:val="8"/>
  </w:num>
  <w:num w:numId="22">
    <w:abstractNumId w:val="26"/>
  </w:num>
  <w:num w:numId="23">
    <w:abstractNumId w:val="38"/>
  </w:num>
  <w:num w:numId="24">
    <w:abstractNumId w:val="5"/>
  </w:num>
  <w:num w:numId="25">
    <w:abstractNumId w:val="17"/>
  </w:num>
  <w:num w:numId="26">
    <w:abstractNumId w:val="31"/>
  </w:num>
  <w:num w:numId="27">
    <w:abstractNumId w:val="29"/>
  </w:num>
  <w:num w:numId="28">
    <w:abstractNumId w:val="27"/>
  </w:num>
  <w:num w:numId="29">
    <w:abstractNumId w:val="14"/>
  </w:num>
  <w:num w:numId="30">
    <w:abstractNumId w:val="28"/>
  </w:num>
  <w:num w:numId="31">
    <w:abstractNumId w:val="13"/>
  </w:num>
  <w:num w:numId="32">
    <w:abstractNumId w:val="21"/>
  </w:num>
  <w:num w:numId="33">
    <w:abstractNumId w:val="11"/>
  </w:num>
  <w:num w:numId="34">
    <w:abstractNumId w:val="23"/>
  </w:num>
  <w:num w:numId="35">
    <w:abstractNumId w:val="15"/>
  </w:num>
  <w:num w:numId="36">
    <w:abstractNumId w:val="35"/>
  </w:num>
  <w:num w:numId="37">
    <w:abstractNumId w:val="19"/>
  </w:num>
  <w:num w:numId="38">
    <w:abstractNumId w:val="18"/>
  </w:num>
  <w:num w:numId="39">
    <w:abstractNumId w:val="33"/>
  </w:num>
  <w:num w:numId="40">
    <w:abstractNumId w:val="32"/>
  </w:num>
  <w:num w:numId="41">
    <w:abstractNumId w:val="12"/>
  </w:num>
  <w:num w:numId="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06"/>
    <w:rsid w:val="000057F5"/>
    <w:rsid w:val="00025083"/>
    <w:rsid w:val="00034851"/>
    <w:rsid w:val="00036D72"/>
    <w:rsid w:val="00056310"/>
    <w:rsid w:val="000568AC"/>
    <w:rsid w:val="00056A0A"/>
    <w:rsid w:val="000571F9"/>
    <w:rsid w:val="000627C3"/>
    <w:rsid w:val="00062C11"/>
    <w:rsid w:val="00062E55"/>
    <w:rsid w:val="000666BD"/>
    <w:rsid w:val="00070391"/>
    <w:rsid w:val="00071F80"/>
    <w:rsid w:val="00073FB1"/>
    <w:rsid w:val="0007452D"/>
    <w:rsid w:val="0009165A"/>
    <w:rsid w:val="000927EC"/>
    <w:rsid w:val="000A29B8"/>
    <w:rsid w:val="000B375A"/>
    <w:rsid w:val="000B3DE6"/>
    <w:rsid w:val="000B5338"/>
    <w:rsid w:val="000B5B62"/>
    <w:rsid w:val="000B74B0"/>
    <w:rsid w:val="000C2467"/>
    <w:rsid w:val="000C2BDB"/>
    <w:rsid w:val="000C2D83"/>
    <w:rsid w:val="000C362D"/>
    <w:rsid w:val="000C4603"/>
    <w:rsid w:val="000C5B7B"/>
    <w:rsid w:val="000C6B83"/>
    <w:rsid w:val="000D2F5E"/>
    <w:rsid w:val="000D6381"/>
    <w:rsid w:val="000E0963"/>
    <w:rsid w:val="000E3017"/>
    <w:rsid w:val="000F3CBB"/>
    <w:rsid w:val="000F6A32"/>
    <w:rsid w:val="000F6C61"/>
    <w:rsid w:val="000F767B"/>
    <w:rsid w:val="00101512"/>
    <w:rsid w:val="00101AB8"/>
    <w:rsid w:val="00101EF1"/>
    <w:rsid w:val="00107751"/>
    <w:rsid w:val="00110EAA"/>
    <w:rsid w:val="0011422F"/>
    <w:rsid w:val="00122E6B"/>
    <w:rsid w:val="00123086"/>
    <w:rsid w:val="0012320E"/>
    <w:rsid w:val="00125026"/>
    <w:rsid w:val="00132C17"/>
    <w:rsid w:val="0013345E"/>
    <w:rsid w:val="00134258"/>
    <w:rsid w:val="00140321"/>
    <w:rsid w:val="00144ABF"/>
    <w:rsid w:val="0016291B"/>
    <w:rsid w:val="0016378B"/>
    <w:rsid w:val="0016454C"/>
    <w:rsid w:val="0017003A"/>
    <w:rsid w:val="00186C80"/>
    <w:rsid w:val="001877AA"/>
    <w:rsid w:val="00191E36"/>
    <w:rsid w:val="001A3060"/>
    <w:rsid w:val="001A50E3"/>
    <w:rsid w:val="001C1A20"/>
    <w:rsid w:val="001C7364"/>
    <w:rsid w:val="001D0936"/>
    <w:rsid w:val="001D0F91"/>
    <w:rsid w:val="001D1F9A"/>
    <w:rsid w:val="001D2788"/>
    <w:rsid w:val="001D45E2"/>
    <w:rsid w:val="001D506E"/>
    <w:rsid w:val="001D6D83"/>
    <w:rsid w:val="001E4FD5"/>
    <w:rsid w:val="001E6886"/>
    <w:rsid w:val="001F19C1"/>
    <w:rsid w:val="001F4328"/>
    <w:rsid w:val="001F7225"/>
    <w:rsid w:val="001F79B1"/>
    <w:rsid w:val="00201F91"/>
    <w:rsid w:val="00203DC7"/>
    <w:rsid w:val="00213583"/>
    <w:rsid w:val="00214BB8"/>
    <w:rsid w:val="00214F00"/>
    <w:rsid w:val="002158F0"/>
    <w:rsid w:val="002179C2"/>
    <w:rsid w:val="00225E7B"/>
    <w:rsid w:val="00234CD3"/>
    <w:rsid w:val="002400BF"/>
    <w:rsid w:val="0024102D"/>
    <w:rsid w:val="00247A2A"/>
    <w:rsid w:val="002522A6"/>
    <w:rsid w:val="002540AD"/>
    <w:rsid w:val="0026346B"/>
    <w:rsid w:val="00266681"/>
    <w:rsid w:val="00271BC2"/>
    <w:rsid w:val="002738C0"/>
    <w:rsid w:val="0028399D"/>
    <w:rsid w:val="002905B1"/>
    <w:rsid w:val="0029752B"/>
    <w:rsid w:val="002B3999"/>
    <w:rsid w:val="002B63DF"/>
    <w:rsid w:val="002B640C"/>
    <w:rsid w:val="002D13F1"/>
    <w:rsid w:val="002D357B"/>
    <w:rsid w:val="002D4BDB"/>
    <w:rsid w:val="002D5343"/>
    <w:rsid w:val="002E154E"/>
    <w:rsid w:val="002E40C2"/>
    <w:rsid w:val="002E7992"/>
    <w:rsid w:val="002F0B92"/>
    <w:rsid w:val="002F498E"/>
    <w:rsid w:val="0030378E"/>
    <w:rsid w:val="00321400"/>
    <w:rsid w:val="00322E5B"/>
    <w:rsid w:val="00335EE1"/>
    <w:rsid w:val="00342E01"/>
    <w:rsid w:val="00345A45"/>
    <w:rsid w:val="00345AC9"/>
    <w:rsid w:val="00346A0A"/>
    <w:rsid w:val="0035529B"/>
    <w:rsid w:val="0037032D"/>
    <w:rsid w:val="00374794"/>
    <w:rsid w:val="003761A6"/>
    <w:rsid w:val="00376A20"/>
    <w:rsid w:val="00391942"/>
    <w:rsid w:val="003A0843"/>
    <w:rsid w:val="003A57D9"/>
    <w:rsid w:val="003B06EF"/>
    <w:rsid w:val="003B2C30"/>
    <w:rsid w:val="003B6FA0"/>
    <w:rsid w:val="003C36D7"/>
    <w:rsid w:val="003C6E64"/>
    <w:rsid w:val="003C74E6"/>
    <w:rsid w:val="003E1C06"/>
    <w:rsid w:val="00407560"/>
    <w:rsid w:val="00412219"/>
    <w:rsid w:val="004127AC"/>
    <w:rsid w:val="00412987"/>
    <w:rsid w:val="00417873"/>
    <w:rsid w:val="00425BAF"/>
    <w:rsid w:val="0043318C"/>
    <w:rsid w:val="00434BA5"/>
    <w:rsid w:val="00441894"/>
    <w:rsid w:val="004648B4"/>
    <w:rsid w:val="004649B6"/>
    <w:rsid w:val="004650C6"/>
    <w:rsid w:val="004667FF"/>
    <w:rsid w:val="00470DA6"/>
    <w:rsid w:val="004732EF"/>
    <w:rsid w:val="004745CD"/>
    <w:rsid w:val="00475292"/>
    <w:rsid w:val="00490399"/>
    <w:rsid w:val="00495FD3"/>
    <w:rsid w:val="00496CDC"/>
    <w:rsid w:val="00497911"/>
    <w:rsid w:val="004A501B"/>
    <w:rsid w:val="004A51E4"/>
    <w:rsid w:val="004A62B8"/>
    <w:rsid w:val="004A6FA0"/>
    <w:rsid w:val="004B1B91"/>
    <w:rsid w:val="004B6E1D"/>
    <w:rsid w:val="004C05DA"/>
    <w:rsid w:val="004C51C4"/>
    <w:rsid w:val="004D29CF"/>
    <w:rsid w:val="004D4CDB"/>
    <w:rsid w:val="004D5786"/>
    <w:rsid w:val="004F078C"/>
    <w:rsid w:val="004F140A"/>
    <w:rsid w:val="004F4AC8"/>
    <w:rsid w:val="005023E0"/>
    <w:rsid w:val="0050256E"/>
    <w:rsid w:val="00503932"/>
    <w:rsid w:val="00505F06"/>
    <w:rsid w:val="00506FB6"/>
    <w:rsid w:val="00512AA1"/>
    <w:rsid w:val="00513E24"/>
    <w:rsid w:val="00513EDE"/>
    <w:rsid w:val="00514946"/>
    <w:rsid w:val="0052673F"/>
    <w:rsid w:val="005308B1"/>
    <w:rsid w:val="00530E12"/>
    <w:rsid w:val="00532B62"/>
    <w:rsid w:val="0054185E"/>
    <w:rsid w:val="005433C8"/>
    <w:rsid w:val="00546967"/>
    <w:rsid w:val="00553D5D"/>
    <w:rsid w:val="005550AB"/>
    <w:rsid w:val="00556526"/>
    <w:rsid w:val="005565CC"/>
    <w:rsid w:val="00560776"/>
    <w:rsid w:val="00562AF4"/>
    <w:rsid w:val="00565E72"/>
    <w:rsid w:val="00573FBA"/>
    <w:rsid w:val="00582705"/>
    <w:rsid w:val="00582F51"/>
    <w:rsid w:val="00585DDF"/>
    <w:rsid w:val="00586C3A"/>
    <w:rsid w:val="00591635"/>
    <w:rsid w:val="005A17DA"/>
    <w:rsid w:val="005A4F24"/>
    <w:rsid w:val="005B1A24"/>
    <w:rsid w:val="005C1DC3"/>
    <w:rsid w:val="005C6277"/>
    <w:rsid w:val="005D0D37"/>
    <w:rsid w:val="005E7D6B"/>
    <w:rsid w:val="005F4C62"/>
    <w:rsid w:val="005F66E3"/>
    <w:rsid w:val="00607EFC"/>
    <w:rsid w:val="00611729"/>
    <w:rsid w:val="00617F20"/>
    <w:rsid w:val="006201A4"/>
    <w:rsid w:val="00640AF6"/>
    <w:rsid w:val="0065623A"/>
    <w:rsid w:val="00657EFA"/>
    <w:rsid w:val="006613B7"/>
    <w:rsid w:val="006614F9"/>
    <w:rsid w:val="00665AE5"/>
    <w:rsid w:val="0067088A"/>
    <w:rsid w:val="00680FF0"/>
    <w:rsid w:val="00682094"/>
    <w:rsid w:val="006921B9"/>
    <w:rsid w:val="00692B56"/>
    <w:rsid w:val="006936B2"/>
    <w:rsid w:val="006A0690"/>
    <w:rsid w:val="006B0945"/>
    <w:rsid w:val="006B0C6E"/>
    <w:rsid w:val="006B217D"/>
    <w:rsid w:val="006C2140"/>
    <w:rsid w:val="006C3BD4"/>
    <w:rsid w:val="006C7895"/>
    <w:rsid w:val="006D33E0"/>
    <w:rsid w:val="006E5A49"/>
    <w:rsid w:val="006E5A6E"/>
    <w:rsid w:val="006F2E1D"/>
    <w:rsid w:val="006F3650"/>
    <w:rsid w:val="006F5BE3"/>
    <w:rsid w:val="00705248"/>
    <w:rsid w:val="00705DAE"/>
    <w:rsid w:val="007229EB"/>
    <w:rsid w:val="00723170"/>
    <w:rsid w:val="007236BD"/>
    <w:rsid w:val="0073359F"/>
    <w:rsid w:val="00736CB6"/>
    <w:rsid w:val="00745D7A"/>
    <w:rsid w:val="00747FCF"/>
    <w:rsid w:val="0075190B"/>
    <w:rsid w:val="00754413"/>
    <w:rsid w:val="007568B8"/>
    <w:rsid w:val="00762D23"/>
    <w:rsid w:val="00770E1C"/>
    <w:rsid w:val="00771AF5"/>
    <w:rsid w:val="00773DA0"/>
    <w:rsid w:val="00780BEF"/>
    <w:rsid w:val="007855B3"/>
    <w:rsid w:val="007914FD"/>
    <w:rsid w:val="00797DE7"/>
    <w:rsid w:val="007A784A"/>
    <w:rsid w:val="007B3200"/>
    <w:rsid w:val="007C0E27"/>
    <w:rsid w:val="007C44CE"/>
    <w:rsid w:val="007D1483"/>
    <w:rsid w:val="007D216E"/>
    <w:rsid w:val="007D3F10"/>
    <w:rsid w:val="007E4EBB"/>
    <w:rsid w:val="007F18A7"/>
    <w:rsid w:val="007F4ED9"/>
    <w:rsid w:val="007F5EDE"/>
    <w:rsid w:val="007F745A"/>
    <w:rsid w:val="0080358A"/>
    <w:rsid w:val="0080506E"/>
    <w:rsid w:val="0080793E"/>
    <w:rsid w:val="00810671"/>
    <w:rsid w:val="00830E27"/>
    <w:rsid w:val="00850991"/>
    <w:rsid w:val="00853876"/>
    <w:rsid w:val="00880126"/>
    <w:rsid w:val="00895EA9"/>
    <w:rsid w:val="008A2F9D"/>
    <w:rsid w:val="008A5738"/>
    <w:rsid w:val="008B0C07"/>
    <w:rsid w:val="008B3669"/>
    <w:rsid w:val="008C4190"/>
    <w:rsid w:val="008D30C1"/>
    <w:rsid w:val="008D5AB0"/>
    <w:rsid w:val="008D79BA"/>
    <w:rsid w:val="008E4395"/>
    <w:rsid w:val="008F4F6D"/>
    <w:rsid w:val="009027FD"/>
    <w:rsid w:val="00905065"/>
    <w:rsid w:val="009073C8"/>
    <w:rsid w:val="0091122F"/>
    <w:rsid w:val="00911995"/>
    <w:rsid w:val="009167E8"/>
    <w:rsid w:val="00917904"/>
    <w:rsid w:val="0092031B"/>
    <w:rsid w:val="009306F9"/>
    <w:rsid w:val="00930C2F"/>
    <w:rsid w:val="009343E5"/>
    <w:rsid w:val="00942451"/>
    <w:rsid w:val="00954462"/>
    <w:rsid w:val="0096088F"/>
    <w:rsid w:val="00963C82"/>
    <w:rsid w:val="00966D2A"/>
    <w:rsid w:val="00967551"/>
    <w:rsid w:val="00976A97"/>
    <w:rsid w:val="00984A82"/>
    <w:rsid w:val="009A4A28"/>
    <w:rsid w:val="009B28DF"/>
    <w:rsid w:val="009B4550"/>
    <w:rsid w:val="009C3DB3"/>
    <w:rsid w:val="009C7896"/>
    <w:rsid w:val="009D0250"/>
    <w:rsid w:val="009D10BE"/>
    <w:rsid w:val="009D149D"/>
    <w:rsid w:val="009E34DF"/>
    <w:rsid w:val="00A01D3D"/>
    <w:rsid w:val="00A151F8"/>
    <w:rsid w:val="00A15E56"/>
    <w:rsid w:val="00A164E6"/>
    <w:rsid w:val="00A17F25"/>
    <w:rsid w:val="00A24D2A"/>
    <w:rsid w:val="00A352CD"/>
    <w:rsid w:val="00A36466"/>
    <w:rsid w:val="00A41A1C"/>
    <w:rsid w:val="00A4534F"/>
    <w:rsid w:val="00A4740B"/>
    <w:rsid w:val="00A47520"/>
    <w:rsid w:val="00A50261"/>
    <w:rsid w:val="00A5047D"/>
    <w:rsid w:val="00A56B80"/>
    <w:rsid w:val="00A70D7A"/>
    <w:rsid w:val="00A80479"/>
    <w:rsid w:val="00A87B70"/>
    <w:rsid w:val="00A946D2"/>
    <w:rsid w:val="00A9568B"/>
    <w:rsid w:val="00AB101A"/>
    <w:rsid w:val="00AB6433"/>
    <w:rsid w:val="00AC5CC6"/>
    <w:rsid w:val="00AD2E8D"/>
    <w:rsid w:val="00AD5349"/>
    <w:rsid w:val="00AD64B7"/>
    <w:rsid w:val="00AD6CA4"/>
    <w:rsid w:val="00AE55EE"/>
    <w:rsid w:val="00AE5B1F"/>
    <w:rsid w:val="00AF0A2C"/>
    <w:rsid w:val="00AF3824"/>
    <w:rsid w:val="00AF7DA0"/>
    <w:rsid w:val="00B120A4"/>
    <w:rsid w:val="00B12650"/>
    <w:rsid w:val="00B13CAE"/>
    <w:rsid w:val="00B3208C"/>
    <w:rsid w:val="00B37624"/>
    <w:rsid w:val="00B40D29"/>
    <w:rsid w:val="00B46D22"/>
    <w:rsid w:val="00B60CFD"/>
    <w:rsid w:val="00B668A0"/>
    <w:rsid w:val="00B7233B"/>
    <w:rsid w:val="00B7330F"/>
    <w:rsid w:val="00B74D11"/>
    <w:rsid w:val="00B770D4"/>
    <w:rsid w:val="00B82D9B"/>
    <w:rsid w:val="00B85066"/>
    <w:rsid w:val="00B93394"/>
    <w:rsid w:val="00B95876"/>
    <w:rsid w:val="00B97F03"/>
    <w:rsid w:val="00BA2DB9"/>
    <w:rsid w:val="00BA4E4C"/>
    <w:rsid w:val="00BA5410"/>
    <w:rsid w:val="00BA5B29"/>
    <w:rsid w:val="00BB0098"/>
    <w:rsid w:val="00BB405F"/>
    <w:rsid w:val="00BB4FB9"/>
    <w:rsid w:val="00BC2EBC"/>
    <w:rsid w:val="00BC3F35"/>
    <w:rsid w:val="00BC5416"/>
    <w:rsid w:val="00BD0CC0"/>
    <w:rsid w:val="00BD753A"/>
    <w:rsid w:val="00BE2882"/>
    <w:rsid w:val="00BE578E"/>
    <w:rsid w:val="00BF17B0"/>
    <w:rsid w:val="00BF2530"/>
    <w:rsid w:val="00BF3A73"/>
    <w:rsid w:val="00C0019A"/>
    <w:rsid w:val="00C022BA"/>
    <w:rsid w:val="00C05BC1"/>
    <w:rsid w:val="00C16C43"/>
    <w:rsid w:val="00C26AA2"/>
    <w:rsid w:val="00C303B3"/>
    <w:rsid w:val="00C3125C"/>
    <w:rsid w:val="00C37B24"/>
    <w:rsid w:val="00C406EA"/>
    <w:rsid w:val="00C47B99"/>
    <w:rsid w:val="00C518E3"/>
    <w:rsid w:val="00C53732"/>
    <w:rsid w:val="00C6036C"/>
    <w:rsid w:val="00C619B0"/>
    <w:rsid w:val="00C709A8"/>
    <w:rsid w:val="00C74D78"/>
    <w:rsid w:val="00C829FC"/>
    <w:rsid w:val="00C83FC9"/>
    <w:rsid w:val="00C87CE9"/>
    <w:rsid w:val="00CA3D03"/>
    <w:rsid w:val="00CB07DF"/>
    <w:rsid w:val="00CB0978"/>
    <w:rsid w:val="00CB1051"/>
    <w:rsid w:val="00CB7877"/>
    <w:rsid w:val="00CC388E"/>
    <w:rsid w:val="00CC3B39"/>
    <w:rsid w:val="00CD0ABD"/>
    <w:rsid w:val="00CD1133"/>
    <w:rsid w:val="00CD2424"/>
    <w:rsid w:val="00CD6C16"/>
    <w:rsid w:val="00CE1FDE"/>
    <w:rsid w:val="00CE2B15"/>
    <w:rsid w:val="00CE37D0"/>
    <w:rsid w:val="00CE5EB1"/>
    <w:rsid w:val="00D004FB"/>
    <w:rsid w:val="00D03D87"/>
    <w:rsid w:val="00D043C1"/>
    <w:rsid w:val="00D10E29"/>
    <w:rsid w:val="00D113CC"/>
    <w:rsid w:val="00D12943"/>
    <w:rsid w:val="00D22799"/>
    <w:rsid w:val="00D25737"/>
    <w:rsid w:val="00D26D6C"/>
    <w:rsid w:val="00D279A6"/>
    <w:rsid w:val="00D31E19"/>
    <w:rsid w:val="00D3320A"/>
    <w:rsid w:val="00D3449B"/>
    <w:rsid w:val="00D3613F"/>
    <w:rsid w:val="00D36283"/>
    <w:rsid w:val="00D41CA1"/>
    <w:rsid w:val="00D41FD9"/>
    <w:rsid w:val="00D42880"/>
    <w:rsid w:val="00D437D2"/>
    <w:rsid w:val="00D43FD0"/>
    <w:rsid w:val="00D459B5"/>
    <w:rsid w:val="00D50313"/>
    <w:rsid w:val="00D51185"/>
    <w:rsid w:val="00D533F2"/>
    <w:rsid w:val="00D5395D"/>
    <w:rsid w:val="00D64CE1"/>
    <w:rsid w:val="00D74142"/>
    <w:rsid w:val="00D74A17"/>
    <w:rsid w:val="00D80075"/>
    <w:rsid w:val="00D8435E"/>
    <w:rsid w:val="00D91423"/>
    <w:rsid w:val="00D92446"/>
    <w:rsid w:val="00D930AE"/>
    <w:rsid w:val="00DB4AA8"/>
    <w:rsid w:val="00DC158F"/>
    <w:rsid w:val="00DC411D"/>
    <w:rsid w:val="00DC7FF4"/>
    <w:rsid w:val="00DD4A17"/>
    <w:rsid w:val="00DF23DF"/>
    <w:rsid w:val="00DF42A9"/>
    <w:rsid w:val="00DF4CC4"/>
    <w:rsid w:val="00E02B52"/>
    <w:rsid w:val="00E03580"/>
    <w:rsid w:val="00E039BC"/>
    <w:rsid w:val="00E16BAD"/>
    <w:rsid w:val="00E16CA9"/>
    <w:rsid w:val="00E22B96"/>
    <w:rsid w:val="00E276F9"/>
    <w:rsid w:val="00E42BC4"/>
    <w:rsid w:val="00E626C7"/>
    <w:rsid w:val="00E73653"/>
    <w:rsid w:val="00E74B3E"/>
    <w:rsid w:val="00E84EE7"/>
    <w:rsid w:val="00E85D94"/>
    <w:rsid w:val="00E86BA3"/>
    <w:rsid w:val="00E86F65"/>
    <w:rsid w:val="00E968EC"/>
    <w:rsid w:val="00EA3A69"/>
    <w:rsid w:val="00EA5603"/>
    <w:rsid w:val="00EA6916"/>
    <w:rsid w:val="00EB1184"/>
    <w:rsid w:val="00EB4664"/>
    <w:rsid w:val="00ED2F81"/>
    <w:rsid w:val="00ED6288"/>
    <w:rsid w:val="00EE00CE"/>
    <w:rsid w:val="00EE45D4"/>
    <w:rsid w:val="00F00A7C"/>
    <w:rsid w:val="00F13F56"/>
    <w:rsid w:val="00F15107"/>
    <w:rsid w:val="00F311BF"/>
    <w:rsid w:val="00F34393"/>
    <w:rsid w:val="00F34E34"/>
    <w:rsid w:val="00F46FF5"/>
    <w:rsid w:val="00F506A4"/>
    <w:rsid w:val="00F60530"/>
    <w:rsid w:val="00F75F5F"/>
    <w:rsid w:val="00F75FAF"/>
    <w:rsid w:val="00F77234"/>
    <w:rsid w:val="00F813AB"/>
    <w:rsid w:val="00F82EFF"/>
    <w:rsid w:val="00FA4E58"/>
    <w:rsid w:val="00FA71F4"/>
    <w:rsid w:val="00FB10AD"/>
    <w:rsid w:val="00FB18F0"/>
    <w:rsid w:val="00FB2685"/>
    <w:rsid w:val="00FB3AC0"/>
    <w:rsid w:val="00FC367C"/>
    <w:rsid w:val="00FC6A18"/>
    <w:rsid w:val="00FD21BE"/>
    <w:rsid w:val="00FD284F"/>
    <w:rsid w:val="00FE36A8"/>
    <w:rsid w:val="00FE5747"/>
    <w:rsid w:val="00FF4665"/>
    <w:rsid w:val="00FF48AB"/>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B27BEA4"/>
  <w15:docId w15:val="{C0FDA5EC-F1B9-4F0A-85E2-EF83AACA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343"/>
    <w:pPr>
      <w:spacing w:before="120" w:after="120" w:line="276" w:lineRule="auto"/>
    </w:pPr>
    <w:rPr>
      <w:rFonts w:ascii="Arial" w:eastAsia="Calibri" w:hAnsi="Arial" w:cs="Arial"/>
      <w:sz w:val="22"/>
      <w:szCs w:val="22"/>
      <w:lang w:eastAsia="en-US"/>
    </w:rPr>
  </w:style>
  <w:style w:type="paragraph" w:styleId="Heading1">
    <w:name w:val="heading 1"/>
    <w:basedOn w:val="Normal"/>
    <w:next w:val="Normal"/>
    <w:qFormat/>
    <w:rsid w:val="002B63DF"/>
    <w:pPr>
      <w:keepNext/>
      <w:numPr>
        <w:numId w:val="24"/>
      </w:numPr>
      <w:outlineLvl w:val="0"/>
    </w:pPr>
    <w:rPr>
      <w:b/>
      <w:bCs/>
      <w:sz w:val="28"/>
    </w:rPr>
  </w:style>
  <w:style w:type="paragraph" w:styleId="Heading2">
    <w:name w:val="heading 2"/>
    <w:basedOn w:val="Normal"/>
    <w:next w:val="Normal"/>
    <w:qFormat/>
    <w:rsid w:val="002D5343"/>
    <w:pPr>
      <w:keepNext/>
      <w:outlineLvl w:val="1"/>
    </w:pPr>
    <w:rPr>
      <w:b/>
      <w:bCs/>
    </w:rPr>
  </w:style>
  <w:style w:type="paragraph" w:styleId="Heading3">
    <w:name w:val="heading 3"/>
    <w:basedOn w:val="Normal"/>
    <w:next w:val="Normal"/>
    <w:qFormat/>
    <w:rsid w:val="002D5343"/>
    <w:pPr>
      <w:keepNext/>
      <w:outlineLvl w:val="2"/>
    </w:pPr>
    <w:rPr>
      <w:b/>
      <w:bCs/>
      <w:szCs w:val="26"/>
    </w:rPr>
  </w:style>
  <w:style w:type="paragraph" w:styleId="Heading4">
    <w:name w:val="heading 4"/>
    <w:basedOn w:val="Normal"/>
    <w:next w:val="Normal"/>
    <w:rsid w:val="0056077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rsid w:val="00560776"/>
    <w:pPr>
      <w:numPr>
        <w:ilvl w:val="4"/>
        <w:numId w:val="1"/>
      </w:numPr>
      <w:spacing w:before="240" w:after="60"/>
      <w:outlineLvl w:val="4"/>
    </w:pPr>
    <w:rPr>
      <w:rFonts w:ascii="Times New Roman" w:hAnsi="Times New Roman"/>
      <w:b/>
      <w:bCs/>
      <w:i/>
      <w:iCs/>
      <w:sz w:val="26"/>
      <w:szCs w:val="26"/>
    </w:rPr>
  </w:style>
  <w:style w:type="paragraph" w:styleId="Heading6">
    <w:name w:val="heading 6"/>
    <w:basedOn w:val="Normal"/>
    <w:next w:val="Normal"/>
    <w:rsid w:val="00560776"/>
    <w:pPr>
      <w:numPr>
        <w:ilvl w:val="5"/>
        <w:numId w:val="1"/>
      </w:numPr>
      <w:spacing w:before="240" w:after="60"/>
      <w:outlineLvl w:val="5"/>
    </w:pPr>
    <w:rPr>
      <w:rFonts w:ascii="Times New Roman" w:hAnsi="Times New Roman"/>
      <w:b/>
      <w:bCs/>
    </w:rPr>
  </w:style>
  <w:style w:type="paragraph" w:styleId="Heading7">
    <w:name w:val="heading 7"/>
    <w:basedOn w:val="Normal"/>
    <w:next w:val="Normal"/>
    <w:rsid w:val="00560776"/>
    <w:pPr>
      <w:numPr>
        <w:ilvl w:val="6"/>
        <w:numId w:val="1"/>
      </w:numPr>
      <w:spacing w:before="240" w:after="60"/>
      <w:outlineLvl w:val="6"/>
    </w:pPr>
    <w:rPr>
      <w:rFonts w:ascii="Times New Roman" w:hAnsi="Times New Roman"/>
    </w:rPr>
  </w:style>
  <w:style w:type="paragraph" w:styleId="Heading8">
    <w:name w:val="heading 8"/>
    <w:basedOn w:val="Normal"/>
    <w:next w:val="Normal"/>
    <w:rsid w:val="00560776"/>
    <w:pPr>
      <w:numPr>
        <w:ilvl w:val="7"/>
        <w:numId w:val="1"/>
      </w:numPr>
      <w:spacing w:before="240" w:after="60"/>
      <w:outlineLvl w:val="7"/>
    </w:pPr>
    <w:rPr>
      <w:rFonts w:ascii="Times New Roman" w:hAnsi="Times New Roman"/>
      <w:i/>
      <w:iCs/>
    </w:rPr>
  </w:style>
  <w:style w:type="paragraph" w:styleId="Heading9">
    <w:name w:val="heading 9"/>
    <w:basedOn w:val="Normal"/>
    <w:next w:val="Normal"/>
    <w:rsid w:val="00560776"/>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line="360" w:lineRule="atLeast"/>
    </w:pPr>
    <w:rPr>
      <w:rFonts w:ascii="Times New Roman" w:hAnsi="Times New Roman"/>
      <w:color w:val="000000"/>
      <w:sz w:val="19"/>
      <w:szCs w:val="19"/>
    </w:rPr>
  </w:style>
  <w:style w:type="paragraph" w:styleId="BalloonText">
    <w:name w:val="Balloon Text"/>
    <w:basedOn w:val="Normal"/>
    <w:link w:val="BalloonTextChar"/>
    <w:uiPriority w:val="99"/>
    <w:rsid w:val="0030378E"/>
    <w:rPr>
      <w:rFonts w:ascii="Tahoma" w:hAnsi="Tahoma"/>
      <w:sz w:val="16"/>
      <w:szCs w:val="16"/>
      <w:lang w:val="x-none" w:eastAsia="x-none"/>
    </w:rPr>
  </w:style>
  <w:style w:type="character" w:customStyle="1" w:styleId="BalloonTextChar">
    <w:name w:val="Balloon Text Char"/>
    <w:link w:val="BalloonText"/>
    <w:uiPriority w:val="99"/>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link w:val="ListParagraphChar"/>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uiPriority w:val="99"/>
    <w:rsid w:val="007D216E"/>
    <w:rPr>
      <w:sz w:val="16"/>
      <w:szCs w:val="16"/>
    </w:rPr>
  </w:style>
  <w:style w:type="paragraph" w:styleId="CommentText">
    <w:name w:val="annotation text"/>
    <w:basedOn w:val="Normal"/>
    <w:link w:val="CommentTextChar"/>
    <w:uiPriority w:val="99"/>
    <w:rsid w:val="007D216E"/>
    <w:rPr>
      <w:sz w:val="20"/>
      <w:szCs w:val="20"/>
    </w:rPr>
  </w:style>
  <w:style w:type="character" w:customStyle="1" w:styleId="CommentTextChar">
    <w:name w:val="Comment Text Char"/>
    <w:link w:val="CommentText"/>
    <w:uiPriority w:val="99"/>
    <w:rsid w:val="007D216E"/>
    <w:rPr>
      <w:rFonts w:ascii="Arial" w:hAnsi="Arial"/>
    </w:rPr>
  </w:style>
  <w:style w:type="paragraph" w:styleId="CommentSubject">
    <w:name w:val="annotation subject"/>
    <w:basedOn w:val="CommentText"/>
    <w:next w:val="CommentText"/>
    <w:link w:val="CommentSubjectChar"/>
    <w:uiPriority w:val="99"/>
    <w:rsid w:val="007D216E"/>
    <w:rPr>
      <w:b/>
      <w:bCs/>
    </w:rPr>
  </w:style>
  <w:style w:type="character" w:customStyle="1" w:styleId="CommentSubjectChar">
    <w:name w:val="Comment Subject Char"/>
    <w:link w:val="CommentSubject"/>
    <w:uiPriority w:val="99"/>
    <w:rsid w:val="007D216E"/>
    <w:rPr>
      <w:rFonts w:ascii="Arial" w:hAnsi="Arial"/>
      <w:b/>
      <w:bCs/>
    </w:rPr>
  </w:style>
  <w:style w:type="table" w:styleId="TableGrid">
    <w:name w:val="Table Grid"/>
    <w:basedOn w:val="TableNormal"/>
    <w:uiPriority w:val="99"/>
    <w:rsid w:val="00513E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13EDE"/>
  </w:style>
  <w:style w:type="table" w:customStyle="1" w:styleId="TableGrid1">
    <w:name w:val="Table Grid1"/>
    <w:basedOn w:val="TableNormal"/>
    <w:next w:val="TableGrid"/>
    <w:rsid w:val="0051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AnnexParaCharChar">
    <w:name w:val="Numbered Annex Para Char Char"/>
    <w:basedOn w:val="Normal"/>
    <w:rsid w:val="00513EDE"/>
    <w:pPr>
      <w:numPr>
        <w:numId w:val="6"/>
      </w:numPr>
    </w:pPr>
    <w:rPr>
      <w:lang w:val="en-AU"/>
    </w:rPr>
  </w:style>
  <w:style w:type="paragraph" w:customStyle="1" w:styleId="Default">
    <w:name w:val="Default"/>
    <w:uiPriority w:val="99"/>
    <w:rsid w:val="00513EDE"/>
    <w:pPr>
      <w:autoSpaceDE w:val="0"/>
      <w:autoSpaceDN w:val="0"/>
      <w:adjustRightInd w:val="0"/>
    </w:pPr>
    <w:rPr>
      <w:rFonts w:ascii="Trebuchet MS" w:eastAsia="Calibri" w:hAnsi="Trebuchet MS" w:cs="Trebuchet MS"/>
      <w:color w:val="000000"/>
      <w:sz w:val="24"/>
      <w:szCs w:val="24"/>
    </w:rPr>
  </w:style>
  <w:style w:type="table" w:customStyle="1" w:styleId="TableGrid2">
    <w:name w:val="Table Grid2"/>
    <w:basedOn w:val="TableNormal"/>
    <w:next w:val="TableGrid"/>
    <w:uiPriority w:val="59"/>
    <w:rsid w:val="00513E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E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13E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70E1C"/>
  </w:style>
  <w:style w:type="table" w:customStyle="1" w:styleId="TableGrid5">
    <w:name w:val="Table Grid5"/>
    <w:basedOn w:val="TableNormal"/>
    <w:next w:val="TableGrid"/>
    <w:uiPriority w:val="59"/>
    <w:rsid w:val="00770E1C"/>
    <w:pPr>
      <w:spacing w:after="200" w:line="276" w:lineRule="auto"/>
      <w:ind w:left="72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0E1C"/>
  </w:style>
  <w:style w:type="table" w:customStyle="1" w:styleId="TableGrid11">
    <w:name w:val="Table Grid11"/>
    <w:basedOn w:val="TableNormal"/>
    <w:next w:val="TableGrid"/>
    <w:rsid w:val="00770E1C"/>
    <w:pPr>
      <w:spacing w:after="200" w:line="276"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70E1C"/>
    <w:pPr>
      <w:spacing w:after="200" w:line="276" w:lineRule="auto"/>
      <w:ind w:left="72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70E1C"/>
    <w:pPr>
      <w:spacing w:after="200" w:line="276" w:lineRule="auto"/>
      <w:ind w:left="72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70E1C"/>
    <w:pPr>
      <w:spacing w:after="200" w:line="276" w:lineRule="auto"/>
      <w:ind w:left="72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70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770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E1C"/>
    <w:rPr>
      <w:rFonts w:ascii="Arial" w:hAnsi="Arial"/>
      <w:sz w:val="24"/>
      <w:szCs w:val="24"/>
    </w:rPr>
  </w:style>
  <w:style w:type="table" w:styleId="GridTable4-Accent1">
    <w:name w:val="Grid Table 4 Accent 1"/>
    <w:basedOn w:val="TableNormal"/>
    <w:uiPriority w:val="49"/>
    <w:rsid w:val="002400B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ullets">
    <w:name w:val="Bullets"/>
    <w:basedOn w:val="ListParagraph"/>
    <w:link w:val="BulletsChar"/>
    <w:qFormat/>
    <w:rsid w:val="00FB3AC0"/>
    <w:pPr>
      <w:numPr>
        <w:numId w:val="30"/>
      </w:numPr>
      <w:spacing w:before="0"/>
      <w:ind w:left="714" w:hanging="357"/>
    </w:pPr>
  </w:style>
  <w:style w:type="character" w:customStyle="1" w:styleId="ListParagraphChar">
    <w:name w:val="List Paragraph Char"/>
    <w:basedOn w:val="DefaultParagraphFont"/>
    <w:link w:val="ListParagraph"/>
    <w:uiPriority w:val="34"/>
    <w:rsid w:val="00FB3AC0"/>
    <w:rPr>
      <w:rFonts w:ascii="Arial" w:eastAsia="Calibri" w:hAnsi="Arial" w:cs="Arial"/>
      <w:sz w:val="22"/>
      <w:szCs w:val="22"/>
      <w:lang w:eastAsia="en-US"/>
    </w:rPr>
  </w:style>
  <w:style w:type="character" w:customStyle="1" w:styleId="BulletsChar">
    <w:name w:val="Bullets Char"/>
    <w:basedOn w:val="ListParagraphChar"/>
    <w:link w:val="Bullets"/>
    <w:rsid w:val="00FB3AC0"/>
    <w:rPr>
      <w:rFonts w:ascii="Arial" w:eastAsia="Calibri" w:hAnsi="Arial" w:cs="Arial"/>
      <w:sz w:val="22"/>
      <w:szCs w:val="22"/>
      <w:lang w:eastAsia="en-US"/>
    </w:rPr>
  </w:style>
  <w:style w:type="table" w:styleId="GridTable5Dark-Accent1">
    <w:name w:val="Grid Table 5 Dark Accent 1"/>
    <w:basedOn w:val="TableNormal"/>
    <w:uiPriority w:val="50"/>
    <w:rsid w:val="004C51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Bullet">
    <w:name w:val="List Bullet"/>
    <w:basedOn w:val="Normal"/>
    <w:uiPriority w:val="2"/>
    <w:qFormat/>
    <w:rsid w:val="00B74D11"/>
    <w:pPr>
      <w:numPr>
        <w:numId w:val="35"/>
      </w:numPr>
      <w:spacing w:line="240" w:lineRule="auto"/>
    </w:pPr>
    <w:rPr>
      <w:rFonts w:eastAsia="Arial" w:cs="Times New Roman"/>
      <w:color w:val="4E4E50"/>
      <w:lang w:val="en-AU"/>
    </w:rPr>
  </w:style>
  <w:style w:type="paragraph" w:customStyle="1" w:styleId="BulletTypeA">
    <w:name w:val="Bullet Type A"/>
    <w:basedOn w:val="ListBullet"/>
    <w:rsid w:val="00B74D11"/>
    <w:pPr>
      <w:tabs>
        <w:tab w:val="clear" w:pos="360"/>
      </w:tabs>
      <w:spacing w:before="0"/>
      <w:ind w:left="2724"/>
      <w:jc w:val="both"/>
    </w:pPr>
    <w:rPr>
      <w:rFonts w:ascii="Optima LT Std" w:eastAsiaTheme="minorHAnsi" w:hAnsi="Optima LT Std" w:cstheme="minorBidi"/>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07776">
      <w:bodyDiv w:val="1"/>
      <w:marLeft w:val="0"/>
      <w:marRight w:val="0"/>
      <w:marTop w:val="0"/>
      <w:marBottom w:val="0"/>
      <w:divBdr>
        <w:top w:val="none" w:sz="0" w:space="0" w:color="auto"/>
        <w:left w:val="none" w:sz="0" w:space="0" w:color="auto"/>
        <w:bottom w:val="none" w:sz="0" w:space="0" w:color="auto"/>
        <w:right w:val="none" w:sz="0" w:space="0" w:color="auto"/>
      </w:divBdr>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5455">
      <w:bodyDiv w:val="1"/>
      <w:marLeft w:val="0"/>
      <w:marRight w:val="0"/>
      <w:marTop w:val="0"/>
      <w:marBottom w:val="0"/>
      <w:divBdr>
        <w:top w:val="none" w:sz="0" w:space="0" w:color="auto"/>
        <w:left w:val="none" w:sz="0" w:space="0" w:color="auto"/>
        <w:bottom w:val="none" w:sz="0" w:space="0" w:color="auto"/>
        <w:right w:val="none" w:sz="0" w:space="0" w:color="auto"/>
      </w:divBdr>
    </w:div>
    <w:div w:id="20889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Term>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Forum xmlns="242c32be-31bf-422c-ab0d-7abc8ae381ac" xsi:nil="true"/>
    <Project xmlns="242c32be-31bf-422c-ab0d-7abc8ae381ac" xsi:nil="true"/>
    <Destruction_x0020_Date xmlns="242c32be-31bf-422c-ab0d-7abc8ae381ac">2020-03-30T23:00:00+00:00</Destruc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AF2A0-3611-49F0-AE78-607FBB9AB0FA}">
  <ds:schemaRefs>
    <ds:schemaRef ds:uri="http://schemas.openxmlformats.org/officeDocument/2006/bibliography"/>
  </ds:schemaRefs>
</ds:datastoreItem>
</file>

<file path=customXml/itemProps2.xml><?xml version="1.0" encoding="utf-8"?>
<ds:datastoreItem xmlns:ds="http://schemas.openxmlformats.org/officeDocument/2006/customXml" ds:itemID="{E517F489-9AE2-4002-8F03-D3B9B6DCD78A}">
  <ds:schemaRefs>
    <ds:schemaRef ds:uri="http://schemas.microsoft.com/office/2006/documentManagement/types"/>
    <ds:schemaRef ds:uri="242c32be-31bf-422c-ab0d-7abc8ae381ac"/>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cf6dc0cf-1d45-4a2f-a37f-b5391cb0490c"/>
    <ds:schemaRef ds:uri="http://schemas.microsoft.com/office/2006/metadata/properties"/>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28917229-3088-429C-B49D-7A474B87F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10791</Words>
  <Characters>61509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Agenda Item:</vt:lpstr>
    </vt:vector>
  </TitlesOfParts>
  <Company>Heddlu Dyfed-Powys Police</Company>
  <LinksUpToDate>false</LinksUpToDate>
  <CharactersWithSpaces>72156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Jayne Woods</dc:creator>
  <cp:lastModifiedBy>Peatling Beverley (OPCC)</cp:lastModifiedBy>
  <cp:revision>2</cp:revision>
  <cp:lastPrinted>2020-03-06T10:53:00Z</cp:lastPrinted>
  <dcterms:created xsi:type="dcterms:W3CDTF">2023-03-23T12:00:00Z</dcterms:created>
  <dcterms:modified xsi:type="dcterms:W3CDTF">2023-03-23T12:00:00Z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57bdf943-dc24-4429-93b6-e1d7fb6edea7</vt:lpwstr>
  </property>
  <property fmtid="{D5CDD505-2E9C-101B-9397-08002B2CF9AE}" pid="5" name="MSIP_Label_7beefdff-6834-454f-be00-a68b5bc5f471_Enabled">
    <vt:lpwstr>true</vt:lpwstr>
  </property>
  <property fmtid="{D5CDD505-2E9C-101B-9397-08002B2CF9AE}" pid="6" name="MSIP_Label_7beefdff-6834-454f-be00-a68b5bc5f471_SetDate">
    <vt:lpwstr>2022-03-18T12:15:18Z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4c7d3d6b-c919-4dd7-a361-6673ca2eb8a0</vt:lpwstr>
  </property>
  <property fmtid="{D5CDD505-2E9C-101B-9397-08002B2CF9AE}" pid="11" name="MSIP_Label_7beefdff-6834-454f-be00-a68b5bc5f471_ContentBits">
    <vt:lpwstr>0</vt:lpwstr>
  </property>
</Properties>
</file>